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ED0E5A">
        <w:rPr>
          <w:b w:val="0"/>
          <w:sz w:val="24"/>
          <w:szCs w:val="24"/>
          <w:highlight w:val="yellow"/>
          <w:u w:val="single"/>
        </w:rPr>
        <w:t>18</w:t>
      </w:r>
      <w:r w:rsidRPr="00607859">
        <w:rPr>
          <w:b w:val="0"/>
          <w:sz w:val="24"/>
          <w:szCs w:val="24"/>
          <w:highlight w:val="yellow"/>
          <w:u w:val="single"/>
        </w:rPr>
        <w:t>»</w:t>
      </w:r>
      <w:r w:rsidR="0071440D" w:rsidRPr="00607859">
        <w:rPr>
          <w:b w:val="0"/>
          <w:sz w:val="24"/>
          <w:szCs w:val="24"/>
          <w:highlight w:val="yellow"/>
          <w:u w:val="single"/>
        </w:rPr>
        <w:t xml:space="preserve"> </w:t>
      </w:r>
      <w:r w:rsidR="00ED0E5A">
        <w:rPr>
          <w:b w:val="0"/>
          <w:sz w:val="24"/>
          <w:szCs w:val="24"/>
          <w:highlight w:val="yellow"/>
          <w:u w:val="single"/>
        </w:rPr>
        <w:t>апреля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ED0E5A" w:rsidRPr="00ED0E5A" w:rsidRDefault="00ED0E5A" w:rsidP="00ED0E5A">
      <w:pPr>
        <w:rPr>
          <w:lang w:eastAsia="ru-RU"/>
        </w:rPr>
      </w:pPr>
    </w:p>
    <w:p w:rsidR="00ED0E5A" w:rsidRPr="00ED0E5A" w:rsidRDefault="00ED0E5A" w:rsidP="00ED0E5A">
      <w:pPr>
        <w:jc w:val="center"/>
        <w:rPr>
          <w:rFonts w:ascii="Times New Roman" w:eastAsia="Times New Roman" w:hAnsi="Times New Roman" w:cs="Times New Roman"/>
          <w:b/>
          <w:sz w:val="23"/>
          <w:szCs w:val="23"/>
          <w:lang w:eastAsia="ru-RU"/>
        </w:rPr>
      </w:pPr>
      <w:r w:rsidRPr="00ED0E5A">
        <w:rPr>
          <w:rFonts w:ascii="Times New Roman" w:eastAsia="Times New Roman" w:hAnsi="Times New Roman" w:cs="Times New Roman"/>
          <w:b/>
          <w:sz w:val="23"/>
          <w:szCs w:val="23"/>
          <w:lang w:eastAsia="ru-RU"/>
        </w:rPr>
        <w:t>ЛОТ №1 - выполнение строительно-монтажных работ по строительству воздушной линии ВЛИ 0,4 кВ от РУ – 0,4 кВ ТП-310 до границ земельного участка заявителя по адресу: М.О., Щелковский р-н, на землях СПК «Агрофирма Жегалово», влад.15;</w:t>
      </w:r>
    </w:p>
    <w:p w:rsidR="00ED0E5A" w:rsidRDefault="00ED0E5A" w:rsidP="00ED0E5A">
      <w:pPr>
        <w:jc w:val="center"/>
        <w:rPr>
          <w:rFonts w:ascii="Times New Roman" w:eastAsia="Times New Roman" w:hAnsi="Times New Roman" w:cs="Times New Roman"/>
          <w:b/>
          <w:sz w:val="23"/>
          <w:szCs w:val="23"/>
          <w:lang w:eastAsia="ru-RU"/>
        </w:rPr>
      </w:pPr>
      <w:r w:rsidRPr="00ED0E5A">
        <w:rPr>
          <w:rFonts w:ascii="Times New Roman" w:eastAsia="Times New Roman" w:hAnsi="Times New Roman" w:cs="Times New Roman"/>
          <w:b/>
          <w:sz w:val="23"/>
          <w:szCs w:val="23"/>
          <w:lang w:eastAsia="ru-RU"/>
        </w:rPr>
        <w:t>ЛОТ №2 - выполнение строительно-монтажных работ по строительству воздушной линии ВЛИ 0,4 кВ от РУ – 0,4 кВ КТП-1230 до границ земельного участка заявителя по адресу: М.О., Щелковский р-н, п. Образцово, ул. Луговая,  влад.16</w:t>
      </w:r>
    </w:p>
    <w:p w:rsidR="00ED0E5A" w:rsidRDefault="00ED0E5A" w:rsidP="00AD50AC">
      <w:pPr>
        <w:jc w:val="center"/>
        <w:rPr>
          <w:rFonts w:ascii="Times New Roman" w:eastAsia="Times New Roman" w:hAnsi="Times New Roman" w:cs="Times New Roman"/>
          <w:b/>
          <w:sz w:val="23"/>
          <w:szCs w:val="23"/>
          <w:lang w:eastAsia="ru-RU"/>
        </w:rPr>
      </w:pPr>
    </w:p>
    <w:p w:rsidR="00ED0E5A" w:rsidRDefault="00ED0E5A" w:rsidP="00AD50AC">
      <w:pPr>
        <w:jc w:val="center"/>
        <w:rPr>
          <w:rFonts w:ascii="Times New Roman" w:eastAsia="Times New Roman" w:hAnsi="Times New Roman" w:cs="Times New Roman"/>
          <w:b/>
          <w:sz w:val="23"/>
          <w:szCs w:val="23"/>
          <w:lang w:eastAsia="ru-RU"/>
        </w:rPr>
      </w:pP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ED0E5A">
        <w:rPr>
          <w:rFonts w:ascii="Times New Roman" w:hAnsi="Times New Roman" w:cs="Times New Roman"/>
          <w:b/>
          <w:sz w:val="23"/>
          <w:szCs w:val="23"/>
          <w:lang w:eastAsia="ru-RU"/>
        </w:rPr>
        <w:t>26</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B524DA" w:rsidRPr="00655A19">
        <w:rPr>
          <w:rFonts w:ascii="Times New Roman" w:hAnsi="Times New Roman" w:cs="Times New Roman"/>
          <w:b/>
          <w:sz w:val="23"/>
          <w:szCs w:val="23"/>
          <w:lang w:eastAsia="ru-RU"/>
        </w:rPr>
        <w:t>Р</w:t>
      </w:r>
      <w:r w:rsidR="00B2227A" w:rsidRPr="00655A19">
        <w:rPr>
          <w:rFonts w:ascii="Times New Roman" w:hAnsi="Times New Roman" w:cs="Times New Roman"/>
          <w:b/>
          <w:sz w:val="23"/>
          <w:szCs w:val="23"/>
          <w:lang w:eastAsia="ru-RU"/>
        </w:rPr>
        <w:t>_ТП</w:t>
      </w:r>
    </w:p>
    <w:p w:rsidR="00B524DA" w:rsidRPr="00655A19" w:rsidRDefault="00B524D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222A92" w:rsidRDefault="00222A92" w:rsidP="00AD50AC">
      <w:pPr>
        <w:jc w:val="center"/>
        <w:rPr>
          <w:rFonts w:ascii="Times New Roman" w:hAnsi="Times New Roman" w:cs="Times New Roman"/>
          <w:sz w:val="23"/>
          <w:szCs w:val="23"/>
          <w:lang w:eastAsia="ru-RU"/>
        </w:rPr>
      </w:pPr>
    </w:p>
    <w:p w:rsidR="00222A92" w:rsidRPr="00655A19" w:rsidRDefault="00222A92" w:rsidP="00AD50AC">
      <w:pPr>
        <w:jc w:val="center"/>
        <w:rPr>
          <w:rFonts w:ascii="Times New Roman" w:hAnsi="Times New Roman" w:cs="Times New Roman"/>
          <w:sz w:val="23"/>
          <w:szCs w:val="23"/>
          <w:lang w:eastAsia="ru-RU"/>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lang w:eastAsia="ru-RU"/>
        </w:rPr>
        <w:t>:</w:t>
      </w:r>
    </w:p>
    <w:p w:rsidR="00ED0E5A" w:rsidRPr="00ED0E5A" w:rsidRDefault="00ED0E5A" w:rsidP="00ED0E5A">
      <w:pPr>
        <w:pStyle w:val="ac"/>
        <w:autoSpaceDE w:val="0"/>
        <w:autoSpaceDN w:val="0"/>
        <w:spacing w:before="60" w:after="120"/>
        <w:ind w:left="709" w:firstLine="0"/>
        <w:rPr>
          <w:rFonts w:eastAsia="Times New Roman"/>
          <w:b/>
          <w:snapToGrid w:val="0"/>
          <w:sz w:val="23"/>
          <w:szCs w:val="23"/>
          <w:lang w:eastAsia="ru-RU"/>
        </w:rPr>
      </w:pPr>
      <w:r w:rsidRPr="00ED0E5A">
        <w:rPr>
          <w:rFonts w:eastAsia="Times New Roman"/>
          <w:b/>
          <w:snapToGrid w:val="0"/>
          <w:sz w:val="23"/>
          <w:szCs w:val="23"/>
          <w:lang w:eastAsia="ru-RU"/>
        </w:rPr>
        <w:t>ЛОТ №1 - выполнение строительно-монтажных работ по строительству воздушной линии ВЛИ 0,4 кВ от РУ – 0,4 кВ ТП-310 до границ земельного участка заявителя по адресу: М.О., Щелковский р-н, на землях СПК «Агрофирма Жегалово», влад.15;</w:t>
      </w:r>
    </w:p>
    <w:p w:rsidR="00ED0E5A" w:rsidRPr="00ED0E5A" w:rsidRDefault="00ED0E5A" w:rsidP="00ED0E5A">
      <w:pPr>
        <w:pStyle w:val="ac"/>
        <w:autoSpaceDE w:val="0"/>
        <w:autoSpaceDN w:val="0"/>
        <w:spacing w:before="60" w:after="120"/>
        <w:ind w:left="709" w:firstLine="0"/>
        <w:rPr>
          <w:rFonts w:eastAsia="Times New Roman"/>
          <w:b/>
          <w:snapToGrid w:val="0"/>
          <w:sz w:val="23"/>
          <w:szCs w:val="23"/>
          <w:lang w:eastAsia="ru-RU"/>
        </w:rPr>
      </w:pPr>
      <w:r w:rsidRPr="00ED0E5A">
        <w:rPr>
          <w:rFonts w:eastAsia="Times New Roman"/>
          <w:b/>
          <w:snapToGrid w:val="0"/>
          <w:sz w:val="23"/>
          <w:szCs w:val="23"/>
          <w:lang w:eastAsia="ru-RU"/>
        </w:rPr>
        <w:t>ЛОТ №2 - выполнение строительно-монтажных работ по строительству воздушной линии ВЛИ 0,4 кВ от РУ – 0,4 кВ КТП-1230 до границ земельного участка заявителя по адресу: М.О., Щелковский р-н, п. Образцово, ул. Луговая,  влад.16</w:t>
      </w:r>
    </w:p>
    <w:p w:rsidR="00AD50AC" w:rsidRPr="00655A19" w:rsidRDefault="00AD50AC" w:rsidP="00306230">
      <w:pPr>
        <w:autoSpaceDE w:val="0"/>
        <w:autoSpaceDN w:val="0"/>
        <w:spacing w:before="60" w:after="120" w:line="240" w:lineRule="auto"/>
        <w:ind w:left="709" w:hanging="1"/>
        <w:jc w:val="both"/>
        <w:rPr>
          <w:rFonts w:ascii="Times New Roman" w:hAnsi="Times New Roman" w:cs="Times New Roman"/>
          <w:sz w:val="23"/>
          <w:szCs w:val="23"/>
        </w:rPr>
      </w:pPr>
      <w:r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w:t>
      </w:r>
      <w:r w:rsidR="00306230">
        <w:rPr>
          <w:sz w:val="23"/>
          <w:szCs w:val="23"/>
        </w:rPr>
        <w:t>ё</w:t>
      </w:r>
      <w:r w:rsidRPr="00655A19">
        <w:rPr>
          <w:sz w:val="23"/>
          <w:szCs w:val="23"/>
        </w:rPr>
        <w:t>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642E20"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w:t>
      </w:r>
      <w:hyperlink r:id="rId11"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2"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55A19">
        <w:rPr>
          <w:rFonts w:eastAsia="Times New Roman"/>
          <w:snapToGrid w:val="0"/>
          <w:sz w:val="23"/>
          <w:szCs w:val="23"/>
          <w:lang w:eastAsia="ru-RU"/>
        </w:rPr>
        <w:t>договора на выполнение</w:t>
      </w:r>
      <w:r w:rsidR="00642E20" w:rsidRPr="00655A19">
        <w:rPr>
          <w:rFonts w:eastAsia="Times New Roman"/>
          <w:snapToGrid w:val="0"/>
          <w:sz w:val="23"/>
          <w:szCs w:val="23"/>
          <w:lang w:eastAsia="ru-RU"/>
        </w:rPr>
        <w:t>:</w:t>
      </w:r>
    </w:p>
    <w:p w:rsidR="00B678FD" w:rsidRPr="00ED0E5A" w:rsidRDefault="00B678FD" w:rsidP="00B678FD">
      <w:pPr>
        <w:pStyle w:val="ac"/>
        <w:autoSpaceDE w:val="0"/>
        <w:autoSpaceDN w:val="0"/>
        <w:spacing w:before="60" w:after="120"/>
        <w:ind w:left="709" w:firstLine="0"/>
        <w:rPr>
          <w:rFonts w:eastAsia="Times New Roman"/>
          <w:b/>
          <w:snapToGrid w:val="0"/>
          <w:sz w:val="23"/>
          <w:szCs w:val="23"/>
          <w:lang w:eastAsia="ru-RU"/>
        </w:rPr>
      </w:pPr>
      <w:r w:rsidRPr="00ED0E5A">
        <w:rPr>
          <w:rFonts w:eastAsia="Times New Roman"/>
          <w:b/>
          <w:snapToGrid w:val="0"/>
          <w:sz w:val="23"/>
          <w:szCs w:val="23"/>
          <w:lang w:eastAsia="ru-RU"/>
        </w:rPr>
        <w:t>ЛОТ №1 - выполнение строительно-монтажных работ по строительству воздушной линии ВЛИ 0,4 кВ от РУ – 0,4 кВ ТП-310 до границ земельного участка заявителя по адресу: М.О., Щелковский р-н, на землях СПК «Агрофирма Жегалово», влад.15;</w:t>
      </w:r>
    </w:p>
    <w:p w:rsidR="00B678FD" w:rsidRPr="00ED0E5A" w:rsidRDefault="00B678FD" w:rsidP="00B678FD">
      <w:pPr>
        <w:pStyle w:val="ac"/>
        <w:autoSpaceDE w:val="0"/>
        <w:autoSpaceDN w:val="0"/>
        <w:spacing w:before="60" w:after="120"/>
        <w:ind w:left="709" w:firstLine="0"/>
        <w:rPr>
          <w:rFonts w:eastAsia="Times New Roman"/>
          <w:b/>
          <w:snapToGrid w:val="0"/>
          <w:sz w:val="23"/>
          <w:szCs w:val="23"/>
          <w:lang w:eastAsia="ru-RU"/>
        </w:rPr>
      </w:pPr>
      <w:r w:rsidRPr="00ED0E5A">
        <w:rPr>
          <w:rFonts w:eastAsia="Times New Roman"/>
          <w:b/>
          <w:snapToGrid w:val="0"/>
          <w:sz w:val="23"/>
          <w:szCs w:val="23"/>
          <w:lang w:eastAsia="ru-RU"/>
        </w:rPr>
        <w:lastRenderedPageBreak/>
        <w:t>ЛОТ №2 - выполнение строительно-монтажных работ по строительству воздушной линии ВЛИ 0,4 кВ от РУ – 0,4 кВ КТП-1230 до границ земельного участка заявителя по адресу: М.О., Щелковский р-н, п. Образцово, ул. Луговая,  влад.16</w:t>
      </w:r>
    </w:p>
    <w:p w:rsidR="00B70661" w:rsidRPr="00655A19" w:rsidRDefault="00B678FD" w:rsidP="00306230">
      <w:pPr>
        <w:ind w:left="709" w:hanging="1"/>
        <w:jc w:val="both"/>
        <w:rPr>
          <w:rFonts w:ascii="Times New Roman" w:eastAsia="Times New Roman" w:hAnsi="Times New Roman" w:cs="Times New Roman"/>
          <w:sz w:val="23"/>
          <w:szCs w:val="23"/>
        </w:rPr>
      </w:pPr>
      <w:r w:rsidRPr="00655A19">
        <w:rPr>
          <w:rFonts w:ascii="Times New Roman" w:hAnsi="Times New Roman" w:cs="Times New Roman"/>
          <w:bCs/>
          <w:sz w:val="23"/>
          <w:szCs w:val="23"/>
        </w:rPr>
        <w:t xml:space="preserve"> </w:t>
      </w:r>
      <w:r w:rsidR="00AD50AC"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Default="00AD50AC" w:rsidP="00306230">
      <w:pPr>
        <w:pStyle w:val="3"/>
        <w:numPr>
          <w:ilvl w:val="0"/>
          <w:numId w:val="0"/>
        </w:numPr>
        <w:spacing w:line="240" w:lineRule="auto"/>
        <w:ind w:left="709" w:hanging="1"/>
        <w:rPr>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B678FD" w:rsidRPr="00ED0E5A" w:rsidRDefault="00B678FD" w:rsidP="00B678FD">
      <w:pPr>
        <w:pStyle w:val="ac"/>
        <w:autoSpaceDE w:val="0"/>
        <w:autoSpaceDN w:val="0"/>
        <w:spacing w:before="60" w:after="120"/>
        <w:ind w:left="709" w:firstLine="0"/>
        <w:rPr>
          <w:rFonts w:eastAsia="Times New Roman"/>
          <w:b/>
          <w:snapToGrid w:val="0"/>
          <w:sz w:val="23"/>
          <w:szCs w:val="23"/>
          <w:lang w:eastAsia="ru-RU"/>
        </w:rPr>
      </w:pPr>
      <w:r w:rsidRPr="00ED0E5A">
        <w:rPr>
          <w:rFonts w:eastAsia="Times New Roman"/>
          <w:b/>
          <w:snapToGrid w:val="0"/>
          <w:sz w:val="23"/>
          <w:szCs w:val="23"/>
          <w:lang w:eastAsia="ru-RU"/>
        </w:rPr>
        <w:t>ЛОТ №1 - выполнение строительно-монтажных работ по строительству воздушной линии ВЛИ 0,4 кВ от РУ – 0,4 кВ ТП-310 до границ земельного участка заявителя по адресу: М.О., Щелковский р-н, на землях СПК «Агрофирма Жегалово», влад.15;</w:t>
      </w:r>
    </w:p>
    <w:p w:rsidR="00B678FD" w:rsidRPr="00ED0E5A" w:rsidRDefault="00B678FD" w:rsidP="00B678FD">
      <w:pPr>
        <w:pStyle w:val="ac"/>
        <w:autoSpaceDE w:val="0"/>
        <w:autoSpaceDN w:val="0"/>
        <w:spacing w:before="60" w:after="120"/>
        <w:ind w:left="709" w:firstLine="0"/>
        <w:rPr>
          <w:rFonts w:eastAsia="Times New Roman"/>
          <w:b/>
          <w:snapToGrid w:val="0"/>
          <w:sz w:val="23"/>
          <w:szCs w:val="23"/>
          <w:lang w:eastAsia="ru-RU"/>
        </w:rPr>
      </w:pPr>
      <w:r w:rsidRPr="00ED0E5A">
        <w:rPr>
          <w:rFonts w:eastAsia="Times New Roman"/>
          <w:b/>
          <w:snapToGrid w:val="0"/>
          <w:sz w:val="23"/>
          <w:szCs w:val="23"/>
          <w:lang w:eastAsia="ru-RU"/>
        </w:rPr>
        <w:t>ЛОТ №2 - выполнение строительно-монтажных работ по строительству воздушной линии ВЛИ 0,4 кВ от РУ – 0,4 кВ КТП-1230 до границ земельного участка заявителя по адресу: М.О., Щелковский р-н, п. Образцово, ул. Луговая,  влад.16</w:t>
      </w: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lastRenderedPageBreak/>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 xml:space="preserve">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кроме того, опыт выполнения работ, связанный с строительно-монтажными работами и электро</w:t>
      </w:r>
      <w:r w:rsidR="006745C3" w:rsidRPr="00655A19">
        <w:rPr>
          <w:rFonts w:ascii="Times New Roman" w:eastAsia="Times New Roman" w:hAnsi="Times New Roman" w:cs="Times New Roman"/>
          <w:sz w:val="23"/>
          <w:szCs w:val="23"/>
          <w:lang w:eastAsia="ru-RU"/>
        </w:rPr>
        <w:t xml:space="preserve"> (строительно)</w:t>
      </w:r>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xml:space="preserve">) Договорами или АКТАМИ О ПРИЁМЕ ВЫПОЛНЕННЫХ РАБОТ за </w:t>
      </w:r>
      <w:r w:rsidR="004361C1" w:rsidRPr="00655A19">
        <w:rPr>
          <w:rFonts w:ascii="Times New Roman" w:eastAsia="Times New Roman" w:hAnsi="Times New Roman" w:cs="Times New Roman"/>
          <w:sz w:val="23"/>
          <w:szCs w:val="23"/>
          <w:lang w:eastAsia="ru-RU"/>
        </w:rPr>
        <w:lastRenderedPageBreak/>
        <w:t>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г.г.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2015 г. с перечнем материально-технических ресурсов (машин и механизмов, специальных приспособлений и инструментов) в т.ч.:</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Для выполнения строительно-монтажных и электро-монтажных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Виброплита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Дрель (ударная, шуруповерт,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r w:rsidRPr="00655A19">
              <w:rPr>
                <w:rFonts w:ascii="Times New Roman" w:hAnsi="Times New Roman" w:cs="Times New Roman"/>
                <w:b/>
                <w:bCs/>
                <w:sz w:val="23"/>
                <w:szCs w:val="23"/>
              </w:rPr>
              <w:t xml:space="preserve">Еврокуб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Инвертор (в т.ч.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Шлифмашина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Пила (циркулярная, 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Станок (дисковый распилочный, для резки 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Бетоносмеситель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Техеометр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Установка алмаз.бур.</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Бульдозеры, тракторы, виброкаток</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Бензо-генераторы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электролаборатории)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список лиц, ответственных за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в т.ч.:</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строительно–монтажных </w:t>
      </w:r>
      <w:r w:rsidR="004151B7" w:rsidRPr="00655A19">
        <w:rPr>
          <w:rFonts w:ascii="Times New Roman" w:eastAsia="Times New Roman" w:hAnsi="Times New Roman" w:cs="Times New Roman"/>
          <w:b/>
          <w:snapToGrid w:val="0"/>
          <w:sz w:val="23"/>
          <w:szCs w:val="23"/>
          <w:lang w:eastAsia="ru-RU"/>
        </w:rPr>
        <w:t>(</w:t>
      </w:r>
      <w:r w:rsidR="005A1A6D" w:rsidRPr="00655A19">
        <w:rPr>
          <w:rFonts w:ascii="Times New Roman" w:eastAsia="Times New Roman" w:hAnsi="Times New Roman" w:cs="Times New Roman"/>
          <w:b/>
          <w:snapToGrid w:val="0"/>
          <w:sz w:val="23"/>
          <w:szCs w:val="23"/>
          <w:lang w:eastAsia="ru-RU"/>
        </w:rPr>
        <w:t>электро-монтажных</w:t>
      </w:r>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w:t>
      </w:r>
      <w:r w:rsidRPr="00655A19">
        <w:rPr>
          <w:b/>
          <w:sz w:val="23"/>
          <w:szCs w:val="23"/>
        </w:rPr>
        <w:lastRenderedPageBreak/>
        <w:t xml:space="preserve">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w:t>
      </w:r>
      <w:r w:rsidR="007678EF" w:rsidRPr="00655A19">
        <w:rPr>
          <w:rFonts w:ascii="Times New Roman" w:hAnsi="Times New Roman" w:cs="Times New Roman"/>
          <w:sz w:val="23"/>
          <w:szCs w:val="23"/>
        </w:rPr>
        <w:lastRenderedPageBreak/>
        <w:t xml:space="preserve">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B678FD" w:rsidRPr="00ED0E5A" w:rsidRDefault="00B678FD" w:rsidP="00B678FD">
      <w:pPr>
        <w:pStyle w:val="ac"/>
        <w:autoSpaceDE w:val="0"/>
        <w:autoSpaceDN w:val="0"/>
        <w:spacing w:before="60" w:after="120"/>
        <w:ind w:left="993" w:firstLine="0"/>
        <w:rPr>
          <w:rFonts w:eastAsia="Times New Roman"/>
          <w:b/>
          <w:snapToGrid w:val="0"/>
          <w:sz w:val="23"/>
          <w:szCs w:val="23"/>
          <w:lang w:eastAsia="ru-RU"/>
        </w:rPr>
      </w:pPr>
      <w:r>
        <w:rPr>
          <w:rFonts w:eastAsia="Times New Roman"/>
          <w:b/>
          <w:sz w:val="23"/>
          <w:szCs w:val="23"/>
          <w:lang w:eastAsia="ru-RU"/>
        </w:rPr>
        <w:tab/>
      </w:r>
      <w:r w:rsidRPr="00ED0E5A">
        <w:rPr>
          <w:rFonts w:eastAsia="Times New Roman"/>
          <w:b/>
          <w:snapToGrid w:val="0"/>
          <w:sz w:val="23"/>
          <w:szCs w:val="23"/>
          <w:lang w:eastAsia="ru-RU"/>
        </w:rPr>
        <w:t>ЛОТ №1 - выполнение строительно-монтажных работ по строительству воздушной линии ВЛИ 0,4 кВ от РУ – 0,4 кВ ТП-310 до границ земельного участка заявителя по адресу: М.О., Щелковский р-н, на землях СПК «Агрофирма Жегалово», влад.15;</w:t>
      </w:r>
    </w:p>
    <w:p w:rsidR="00B678FD" w:rsidRPr="00ED0E5A" w:rsidRDefault="00B678FD" w:rsidP="00B678FD">
      <w:pPr>
        <w:pStyle w:val="ac"/>
        <w:autoSpaceDE w:val="0"/>
        <w:autoSpaceDN w:val="0"/>
        <w:spacing w:before="60" w:after="120"/>
        <w:ind w:left="993" w:firstLine="0"/>
        <w:rPr>
          <w:rFonts w:eastAsia="Times New Roman"/>
          <w:b/>
          <w:snapToGrid w:val="0"/>
          <w:sz w:val="23"/>
          <w:szCs w:val="23"/>
          <w:lang w:eastAsia="ru-RU"/>
        </w:rPr>
      </w:pPr>
      <w:r w:rsidRPr="00ED0E5A">
        <w:rPr>
          <w:rFonts w:eastAsia="Times New Roman"/>
          <w:b/>
          <w:snapToGrid w:val="0"/>
          <w:sz w:val="23"/>
          <w:szCs w:val="23"/>
          <w:lang w:eastAsia="ru-RU"/>
        </w:rPr>
        <w:t>ЛОТ №2 - выполнение строительно-монтажных работ по строительству воздушной линии ВЛИ 0,4 кВ от РУ – 0,4 кВ КТП-1230 до границ земельного участка заявителя по адресу: М.О., Щелковский р-н, п. Образцово, ул. Луговая,  влад.16</w:t>
      </w:r>
    </w:p>
    <w:p w:rsidR="00B2227A" w:rsidRPr="00655A19" w:rsidRDefault="00306230" w:rsidP="00F977C1">
      <w:pPr>
        <w:tabs>
          <w:tab w:val="left" w:pos="1276"/>
        </w:tabs>
        <w:spacing w:after="0" w:line="240" w:lineRule="auto"/>
        <w:ind w:left="993" w:hanging="851"/>
        <w:jc w:val="both"/>
        <w:rPr>
          <w:rFonts w:ascii="Times New Roman" w:hAnsi="Times New Roman" w:cs="Times New Roman"/>
          <w:sz w:val="23"/>
          <w:szCs w:val="23"/>
          <w:highlight w:val="yellow"/>
        </w:rPr>
      </w:pPr>
      <w:r>
        <w:rPr>
          <w:rFonts w:ascii="Times New Roman" w:eastAsia="Times New Roman" w:hAnsi="Times New Roman" w:cs="Times New Roman"/>
          <w:b/>
          <w:sz w:val="23"/>
          <w:szCs w:val="23"/>
          <w:lang w:eastAsia="ru-RU"/>
        </w:rPr>
        <w:tab/>
      </w:r>
      <w:r w:rsidR="005A2265" w:rsidRPr="00655A19">
        <w:rPr>
          <w:rFonts w:ascii="Times New Roman" w:hAnsi="Times New Roman" w:cs="Times New Roman"/>
          <w:b/>
          <w:sz w:val="23"/>
          <w:szCs w:val="23"/>
        </w:rPr>
        <w:t xml:space="preserve">Реестровый номер закупки </w:t>
      </w:r>
      <w:r w:rsidR="005A2265" w:rsidRPr="00655A19">
        <w:rPr>
          <w:rFonts w:ascii="Times New Roman" w:hAnsi="Times New Roman" w:cs="Times New Roman"/>
          <w:b/>
          <w:sz w:val="23"/>
          <w:szCs w:val="23"/>
          <w:highlight w:val="yellow"/>
        </w:rPr>
        <w:t>ОК №0</w:t>
      </w:r>
      <w:r w:rsidR="00B678FD">
        <w:rPr>
          <w:rFonts w:ascii="Times New Roman" w:hAnsi="Times New Roman" w:cs="Times New Roman"/>
          <w:b/>
          <w:sz w:val="23"/>
          <w:szCs w:val="23"/>
          <w:highlight w:val="yellow"/>
        </w:rPr>
        <w:t>26</w:t>
      </w:r>
      <w:r w:rsidR="005A2265" w:rsidRPr="00655A19">
        <w:rPr>
          <w:rFonts w:ascii="Times New Roman" w:hAnsi="Times New Roman" w:cs="Times New Roman"/>
          <w:b/>
          <w:sz w:val="23"/>
          <w:szCs w:val="23"/>
          <w:highlight w:val="yellow"/>
        </w:rPr>
        <w:t>/2016/Р_ТП.</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Юр. адрес:141029 , М.О., г.Королев,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ул.Гагарина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lastRenderedPageBreak/>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B678FD" w:rsidRPr="00B678FD" w:rsidRDefault="00B678FD" w:rsidP="00B678FD">
      <w:pPr>
        <w:autoSpaceDE w:val="0"/>
        <w:autoSpaceDN w:val="0"/>
        <w:spacing w:before="60" w:after="120" w:line="240" w:lineRule="auto"/>
        <w:ind w:left="851"/>
        <w:jc w:val="both"/>
        <w:rPr>
          <w:rFonts w:ascii="Times New Roman" w:hAnsi="Times New Roman" w:cs="Times New Roman"/>
          <w:i/>
          <w:sz w:val="23"/>
          <w:szCs w:val="23"/>
          <w:u w:val="single"/>
        </w:rPr>
      </w:pPr>
      <w:r w:rsidRPr="00B678FD">
        <w:rPr>
          <w:rFonts w:ascii="Times New Roman" w:hAnsi="Times New Roman" w:cs="Times New Roman"/>
          <w:i/>
          <w:sz w:val="23"/>
          <w:szCs w:val="23"/>
          <w:u w:val="single"/>
        </w:rPr>
        <w:t>ЛОТ № 1 - 120 000,00 (Сто двадцать тысяч рублей 00 копеек) (с учетом всех расходов, налогов, сборов, связанных с заключением и выполнением договора);</w:t>
      </w:r>
    </w:p>
    <w:p w:rsidR="00B678FD" w:rsidRPr="00B678FD" w:rsidRDefault="00B678FD" w:rsidP="00B678FD">
      <w:pPr>
        <w:autoSpaceDE w:val="0"/>
        <w:autoSpaceDN w:val="0"/>
        <w:spacing w:before="60" w:after="120" w:line="240" w:lineRule="auto"/>
        <w:ind w:left="851"/>
        <w:jc w:val="both"/>
        <w:rPr>
          <w:rFonts w:ascii="Times New Roman" w:hAnsi="Times New Roman" w:cs="Times New Roman"/>
          <w:i/>
          <w:sz w:val="23"/>
          <w:szCs w:val="23"/>
          <w:u w:val="single"/>
        </w:rPr>
      </w:pPr>
      <w:r w:rsidRPr="00B678FD">
        <w:rPr>
          <w:rFonts w:ascii="Times New Roman" w:hAnsi="Times New Roman" w:cs="Times New Roman"/>
          <w:i/>
          <w:sz w:val="23"/>
          <w:szCs w:val="23"/>
          <w:u w:val="single"/>
        </w:rPr>
        <w:t>ЛОТ № 2 - 670 000,00 (Шестьсот семьдесят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lastRenderedPageBreak/>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каб.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3063F0">
        <w:rPr>
          <w:b/>
          <w:sz w:val="23"/>
          <w:szCs w:val="23"/>
          <w:highlight w:val="yellow"/>
        </w:rPr>
        <w:t>1</w:t>
      </w:r>
      <w:r w:rsidR="00417D2C">
        <w:rPr>
          <w:b/>
          <w:sz w:val="23"/>
          <w:szCs w:val="23"/>
          <w:highlight w:val="yellow"/>
        </w:rPr>
        <w:t>8</w:t>
      </w:r>
      <w:r w:rsidR="000570A0" w:rsidRPr="00222A92">
        <w:rPr>
          <w:b/>
          <w:sz w:val="23"/>
          <w:szCs w:val="23"/>
          <w:highlight w:val="yellow"/>
        </w:rPr>
        <w:t>.</w:t>
      </w:r>
      <w:r w:rsidR="006F551D" w:rsidRPr="00655A19">
        <w:rPr>
          <w:b/>
          <w:sz w:val="23"/>
          <w:szCs w:val="23"/>
          <w:highlight w:val="yellow"/>
        </w:rPr>
        <w:t>0</w:t>
      </w:r>
      <w:r w:rsidR="00B678FD">
        <w:rPr>
          <w:b/>
          <w:sz w:val="23"/>
          <w:szCs w:val="23"/>
          <w:highlight w:val="yellow"/>
        </w:rPr>
        <w:t>4</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417D2C">
        <w:rPr>
          <w:b/>
          <w:sz w:val="23"/>
          <w:szCs w:val="23"/>
          <w:highlight w:val="yellow"/>
        </w:rPr>
        <w:t>10</w:t>
      </w:r>
      <w:r w:rsidR="004E539B" w:rsidRPr="00655A19">
        <w:rPr>
          <w:b/>
          <w:sz w:val="23"/>
          <w:szCs w:val="23"/>
          <w:highlight w:val="yellow"/>
        </w:rPr>
        <w:t>.</w:t>
      </w:r>
      <w:r w:rsidR="0082772B" w:rsidRPr="00655A19">
        <w:rPr>
          <w:b/>
          <w:sz w:val="23"/>
          <w:szCs w:val="23"/>
          <w:highlight w:val="yellow"/>
        </w:rPr>
        <w:t>0</w:t>
      </w:r>
      <w:r w:rsidR="00B678FD">
        <w:rPr>
          <w:b/>
          <w:sz w:val="23"/>
          <w:szCs w:val="23"/>
          <w:highlight w:val="yellow"/>
        </w:rPr>
        <w:t>5</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B678FD" w:rsidRDefault="00B678FD" w:rsidP="00B678FD">
      <w:pPr>
        <w:ind w:left="709"/>
        <w:jc w:val="both"/>
        <w:rPr>
          <w:rFonts w:ascii="Times New Roman" w:eastAsia="Times New Roman" w:hAnsi="Times New Roman" w:cs="Times New Roman"/>
          <w:b/>
          <w:sz w:val="23"/>
          <w:szCs w:val="23"/>
          <w:lang w:eastAsia="ru-RU"/>
        </w:rPr>
      </w:pPr>
      <w:r w:rsidRPr="00B678FD">
        <w:rPr>
          <w:rFonts w:ascii="Times New Roman" w:eastAsia="Times New Roman" w:hAnsi="Times New Roman" w:cs="Times New Roman"/>
          <w:b/>
          <w:sz w:val="23"/>
          <w:szCs w:val="23"/>
          <w:lang w:eastAsia="ru-RU"/>
        </w:rPr>
        <w:t>ЛОТ №1 - выполнение строительно-монтажных работ по строительству воздушной линии ВЛИ 0,4 кВ от РУ – 0,4 кВ ТП-310 до границ земельного участка заявителя по адресу: М.О., Щелковский р-н, на землях СПК «Агрофирма Жегалово», влад.15;</w:t>
      </w:r>
    </w:p>
    <w:p w:rsidR="00B678FD" w:rsidRDefault="00B678FD" w:rsidP="00B678FD">
      <w:pPr>
        <w:ind w:left="709"/>
        <w:jc w:val="both"/>
        <w:rPr>
          <w:rFonts w:ascii="Times New Roman" w:eastAsia="Times New Roman" w:hAnsi="Times New Roman" w:cs="Times New Roman"/>
          <w:b/>
          <w:sz w:val="23"/>
          <w:szCs w:val="23"/>
          <w:lang w:eastAsia="ru-RU"/>
        </w:rPr>
      </w:pPr>
      <w:r w:rsidRPr="00B678FD">
        <w:rPr>
          <w:rFonts w:ascii="Times New Roman" w:eastAsia="Times New Roman" w:hAnsi="Times New Roman" w:cs="Times New Roman"/>
          <w:b/>
          <w:sz w:val="23"/>
          <w:szCs w:val="23"/>
          <w:lang w:eastAsia="ru-RU"/>
        </w:rPr>
        <w:t>ЛОТ №2 - выполнение строительно-монтажных работ по строительству воздушной линии ВЛИ 0,4 кВ от РУ – 0,4 кВ КТП-1230 до границ земельного участка заявителя по адресу: М.О., Щелковский р-н, п. Образцово, ул. Луговая,  влад.16.</w:t>
      </w:r>
    </w:p>
    <w:p w:rsidR="00054AD2" w:rsidRPr="00655A19" w:rsidRDefault="006F551D" w:rsidP="00AB0417">
      <w:pPr>
        <w:ind w:left="709"/>
        <w:jc w:val="both"/>
        <w:rPr>
          <w:rFonts w:ascii="Times New Roman" w:eastAsia="Times New Roman" w:hAnsi="Times New Roman" w:cs="Times New Roman"/>
          <w:snapToGrid w:val="0"/>
          <w:sz w:val="23"/>
          <w:szCs w:val="23"/>
          <w:lang w:eastAsia="ru-RU"/>
        </w:rPr>
      </w:pPr>
      <w:r w:rsidRPr="00655A19">
        <w:rPr>
          <w:rFonts w:ascii="Times New Roman" w:hAnsi="Times New Roman" w:cs="Times New Roman"/>
          <w:b/>
          <w:sz w:val="23"/>
          <w:szCs w:val="23"/>
          <w:u w:val="single"/>
        </w:rPr>
        <w:t xml:space="preserve">Реестровый номер закупки </w:t>
      </w:r>
      <w:r w:rsidRPr="00655A19">
        <w:rPr>
          <w:rFonts w:ascii="Times New Roman" w:hAnsi="Times New Roman" w:cs="Times New Roman"/>
          <w:b/>
          <w:sz w:val="23"/>
          <w:szCs w:val="23"/>
          <w:highlight w:val="yellow"/>
          <w:u w:val="single"/>
        </w:rPr>
        <w:t>ОК №0</w:t>
      </w:r>
      <w:r w:rsidR="00B678FD">
        <w:rPr>
          <w:rFonts w:ascii="Times New Roman" w:hAnsi="Times New Roman" w:cs="Times New Roman"/>
          <w:b/>
          <w:sz w:val="23"/>
          <w:szCs w:val="23"/>
          <w:highlight w:val="yellow"/>
          <w:u w:val="single"/>
        </w:rPr>
        <w:t>26</w:t>
      </w:r>
      <w:r w:rsidRPr="00655A19">
        <w:rPr>
          <w:rFonts w:ascii="Times New Roman" w:hAnsi="Times New Roman" w:cs="Times New Roman"/>
          <w:b/>
          <w:sz w:val="23"/>
          <w:szCs w:val="23"/>
          <w:highlight w:val="yellow"/>
          <w:u w:val="single"/>
        </w:rPr>
        <w:t>/2016/Р_ТП.</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B678FD" w:rsidRDefault="00B678FD" w:rsidP="00B678FD">
      <w:pPr>
        <w:autoSpaceDE w:val="0"/>
        <w:autoSpaceDN w:val="0"/>
        <w:spacing w:before="60" w:after="120" w:line="240" w:lineRule="auto"/>
        <w:ind w:left="851"/>
        <w:jc w:val="both"/>
        <w:rPr>
          <w:rFonts w:ascii="Times New Roman" w:eastAsia="Times New Roman" w:hAnsi="Times New Roman"/>
          <w:b/>
          <w:sz w:val="23"/>
          <w:szCs w:val="23"/>
          <w:lang w:eastAsia="ru-RU"/>
        </w:rPr>
      </w:pPr>
      <w:r w:rsidRPr="00306230">
        <w:rPr>
          <w:rFonts w:ascii="Times New Roman" w:eastAsia="Times New Roman" w:hAnsi="Times New Roman"/>
          <w:b/>
          <w:sz w:val="23"/>
          <w:szCs w:val="23"/>
          <w:lang w:eastAsia="ru-RU"/>
        </w:rPr>
        <w:t xml:space="preserve">ЛОТ №1 - </w:t>
      </w:r>
      <w:r>
        <w:rPr>
          <w:rFonts w:ascii="Times New Roman" w:eastAsia="Times New Roman" w:hAnsi="Times New Roman"/>
          <w:b/>
          <w:sz w:val="23"/>
          <w:szCs w:val="23"/>
          <w:lang w:eastAsia="ru-RU"/>
        </w:rPr>
        <w:t>в</w:t>
      </w:r>
      <w:r w:rsidRPr="009E4B56">
        <w:rPr>
          <w:rFonts w:ascii="Times New Roman" w:eastAsia="Times New Roman" w:hAnsi="Times New Roman"/>
          <w:b/>
          <w:sz w:val="23"/>
          <w:szCs w:val="23"/>
          <w:lang w:eastAsia="ru-RU"/>
        </w:rPr>
        <w:t xml:space="preserve">ыполнение строительно-монтажных работ по строительству </w:t>
      </w:r>
      <w:r>
        <w:rPr>
          <w:rFonts w:ascii="Times New Roman" w:eastAsia="Times New Roman" w:hAnsi="Times New Roman"/>
          <w:b/>
          <w:sz w:val="23"/>
          <w:szCs w:val="23"/>
          <w:lang w:eastAsia="ru-RU"/>
        </w:rPr>
        <w:t xml:space="preserve">воздушной линии ВЛИ 0,4 кВ от РУ – 0,4 кВ ТП-310 до границ земельного </w:t>
      </w:r>
      <w:r>
        <w:rPr>
          <w:rFonts w:ascii="Times New Roman" w:eastAsia="Times New Roman" w:hAnsi="Times New Roman"/>
          <w:b/>
          <w:sz w:val="23"/>
          <w:szCs w:val="23"/>
          <w:lang w:eastAsia="ru-RU"/>
        </w:rPr>
        <w:lastRenderedPageBreak/>
        <w:t>участка заявителя по адресу: М.О., Щелковский р-н, на землях СПК «Агрофирма Жегалово», влад.15;</w:t>
      </w:r>
    </w:p>
    <w:p w:rsidR="00B678FD" w:rsidRDefault="00B678FD" w:rsidP="00B678FD">
      <w:pPr>
        <w:autoSpaceDE w:val="0"/>
        <w:autoSpaceDN w:val="0"/>
        <w:spacing w:before="60" w:after="120" w:line="240" w:lineRule="auto"/>
        <w:ind w:left="851"/>
        <w:jc w:val="both"/>
        <w:rPr>
          <w:rFonts w:ascii="Times New Roman" w:eastAsia="Times New Roman" w:hAnsi="Times New Roman"/>
          <w:b/>
          <w:sz w:val="23"/>
          <w:szCs w:val="23"/>
          <w:lang w:eastAsia="ru-RU"/>
        </w:rPr>
      </w:pPr>
      <w:r>
        <w:rPr>
          <w:rFonts w:ascii="Times New Roman" w:eastAsia="Times New Roman" w:hAnsi="Times New Roman"/>
          <w:b/>
          <w:sz w:val="23"/>
          <w:szCs w:val="23"/>
          <w:lang w:eastAsia="ru-RU"/>
        </w:rPr>
        <w:t>ЛОТ №2 - в</w:t>
      </w:r>
      <w:r w:rsidRPr="009E4B56">
        <w:rPr>
          <w:rFonts w:ascii="Times New Roman" w:eastAsia="Times New Roman" w:hAnsi="Times New Roman"/>
          <w:b/>
          <w:sz w:val="23"/>
          <w:szCs w:val="23"/>
          <w:lang w:eastAsia="ru-RU"/>
        </w:rPr>
        <w:t xml:space="preserve">ыполнение строительно-монтажных работ по строительству </w:t>
      </w:r>
      <w:r>
        <w:rPr>
          <w:rFonts w:ascii="Times New Roman" w:eastAsia="Times New Roman" w:hAnsi="Times New Roman"/>
          <w:b/>
          <w:sz w:val="23"/>
          <w:szCs w:val="23"/>
          <w:lang w:eastAsia="ru-RU"/>
        </w:rPr>
        <w:t>воздушной линии ВЛИ 0,4 кВ от РУ – 0,4 кВ КТП-1230 до границ земельного участка заявителя по адресу: М.О., Щелковский р-н, п. Образцово, ул. Луговая,  влад.16.</w:t>
      </w:r>
    </w:p>
    <w:p w:rsidR="00B678FD" w:rsidRDefault="00B678FD" w:rsidP="00981D87">
      <w:pPr>
        <w:pStyle w:val="3"/>
        <w:numPr>
          <w:ilvl w:val="0"/>
          <w:numId w:val="0"/>
        </w:numPr>
        <w:tabs>
          <w:tab w:val="left" w:pos="851"/>
        </w:tabs>
        <w:spacing w:line="240" w:lineRule="auto"/>
        <w:ind w:left="851"/>
        <w:rPr>
          <w:b/>
          <w:sz w:val="23"/>
          <w:szCs w:val="23"/>
        </w:rPr>
      </w:pPr>
    </w:p>
    <w:p w:rsidR="00FD5CFA" w:rsidRPr="00655A19" w:rsidRDefault="006F551D" w:rsidP="00981D87">
      <w:pPr>
        <w:pStyle w:val="3"/>
        <w:numPr>
          <w:ilvl w:val="0"/>
          <w:numId w:val="0"/>
        </w:numPr>
        <w:tabs>
          <w:tab w:val="left" w:pos="851"/>
        </w:tabs>
        <w:spacing w:line="240" w:lineRule="auto"/>
        <w:ind w:left="851"/>
        <w:rPr>
          <w:b/>
          <w:sz w:val="23"/>
          <w:szCs w:val="23"/>
        </w:rPr>
      </w:pPr>
      <w:r w:rsidRPr="00655A19">
        <w:rPr>
          <w:b/>
          <w:sz w:val="23"/>
          <w:szCs w:val="23"/>
          <w:u w:val="single"/>
        </w:rPr>
        <w:t xml:space="preserve">Реестровый номер закупки </w:t>
      </w:r>
      <w:r w:rsidRPr="00655A19">
        <w:rPr>
          <w:b/>
          <w:sz w:val="23"/>
          <w:szCs w:val="23"/>
          <w:highlight w:val="yellow"/>
          <w:u w:val="single"/>
        </w:rPr>
        <w:t>ОК №0</w:t>
      </w:r>
      <w:r w:rsidR="00B678FD">
        <w:rPr>
          <w:b/>
          <w:sz w:val="23"/>
          <w:szCs w:val="23"/>
          <w:highlight w:val="yellow"/>
          <w:u w:val="single"/>
        </w:rPr>
        <w:t>26</w:t>
      </w:r>
      <w:r w:rsidRPr="00655A19">
        <w:rPr>
          <w:b/>
          <w:sz w:val="23"/>
          <w:szCs w:val="23"/>
          <w:highlight w:val="yellow"/>
          <w:u w:val="single"/>
        </w:rPr>
        <w:t>/2016/Р_ТП.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2013-2015 г.г.</w:t>
      </w:r>
      <w:r w:rsidRPr="00655A19">
        <w:rPr>
          <w:sz w:val="23"/>
          <w:szCs w:val="23"/>
        </w:rPr>
        <w:t xml:space="preserve"> при этом сумма одного договора не должна быть меньше 4,0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к спецобуви требование (подошва от -35°C до +300°C, износоустойчивая, антистатичная), к СИЗ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lastRenderedPageBreak/>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3063F0">
        <w:rPr>
          <w:sz w:val="23"/>
          <w:szCs w:val="23"/>
          <w:highlight w:val="yellow"/>
        </w:rPr>
        <w:t>1</w:t>
      </w:r>
      <w:r w:rsidR="00417D2C">
        <w:rPr>
          <w:sz w:val="23"/>
          <w:szCs w:val="23"/>
          <w:highlight w:val="yellow"/>
        </w:rPr>
        <w:t>8</w:t>
      </w:r>
      <w:r w:rsidR="00C70616" w:rsidRPr="00655A19">
        <w:rPr>
          <w:sz w:val="23"/>
          <w:szCs w:val="23"/>
          <w:highlight w:val="yellow"/>
        </w:rPr>
        <w:t>.</w:t>
      </w:r>
      <w:r w:rsidR="0095142D" w:rsidRPr="00655A19">
        <w:rPr>
          <w:sz w:val="23"/>
          <w:szCs w:val="23"/>
          <w:highlight w:val="yellow"/>
        </w:rPr>
        <w:t>0</w:t>
      </w:r>
      <w:r w:rsidR="00FB148B">
        <w:rPr>
          <w:sz w:val="23"/>
          <w:szCs w:val="23"/>
          <w:highlight w:val="yellow"/>
        </w:rPr>
        <w:t>4</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B678FD">
        <w:rPr>
          <w:sz w:val="23"/>
          <w:szCs w:val="23"/>
          <w:highlight w:val="yellow"/>
        </w:rPr>
        <w:t>0</w:t>
      </w:r>
      <w:r w:rsidR="00417D2C">
        <w:rPr>
          <w:sz w:val="23"/>
          <w:szCs w:val="23"/>
          <w:highlight w:val="yellow"/>
        </w:rPr>
        <w:t>3</w:t>
      </w:r>
      <w:r w:rsidR="00054DDD" w:rsidRPr="00655A19">
        <w:rPr>
          <w:sz w:val="23"/>
          <w:szCs w:val="23"/>
          <w:highlight w:val="yellow"/>
        </w:rPr>
        <w:t>.</w:t>
      </w:r>
      <w:r w:rsidR="0095142D" w:rsidRPr="00655A19">
        <w:rPr>
          <w:sz w:val="23"/>
          <w:szCs w:val="23"/>
          <w:highlight w:val="yellow"/>
        </w:rPr>
        <w:t>0</w:t>
      </w:r>
      <w:r w:rsidR="00B678FD">
        <w:rPr>
          <w:sz w:val="23"/>
          <w:szCs w:val="23"/>
          <w:highlight w:val="yellow"/>
        </w:rPr>
        <w:t>5</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B678FD">
        <w:rPr>
          <w:sz w:val="23"/>
          <w:szCs w:val="23"/>
          <w:highlight w:val="yellow"/>
        </w:rPr>
        <w:t>1</w:t>
      </w:r>
      <w:r w:rsidR="00417D2C">
        <w:rPr>
          <w:sz w:val="23"/>
          <w:szCs w:val="23"/>
          <w:highlight w:val="yellow"/>
        </w:rPr>
        <w:t>2</w:t>
      </w:r>
      <w:r w:rsidR="00B141A1" w:rsidRPr="00655A19">
        <w:rPr>
          <w:sz w:val="23"/>
          <w:szCs w:val="23"/>
          <w:highlight w:val="yellow"/>
        </w:rPr>
        <w:t>.</w:t>
      </w:r>
      <w:r w:rsidR="000F51A1" w:rsidRPr="00655A19">
        <w:rPr>
          <w:sz w:val="23"/>
          <w:szCs w:val="23"/>
          <w:highlight w:val="yellow"/>
        </w:rPr>
        <w:t>0</w:t>
      </w:r>
      <w:r w:rsidR="00B678FD">
        <w:rPr>
          <w:sz w:val="23"/>
          <w:szCs w:val="23"/>
          <w:highlight w:val="yellow"/>
        </w:rPr>
        <w:t>5</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 xml:space="preserve">Дата подведения итогов: </w:t>
      </w:r>
      <w:r w:rsidR="00B678FD">
        <w:rPr>
          <w:sz w:val="23"/>
          <w:szCs w:val="23"/>
          <w:highlight w:val="yellow"/>
        </w:rPr>
        <w:t>1</w:t>
      </w:r>
      <w:r w:rsidR="00417D2C">
        <w:rPr>
          <w:sz w:val="23"/>
          <w:szCs w:val="23"/>
          <w:highlight w:val="yellow"/>
        </w:rPr>
        <w:t>3</w:t>
      </w:r>
      <w:r w:rsidRPr="00655A19">
        <w:rPr>
          <w:sz w:val="23"/>
          <w:szCs w:val="23"/>
          <w:highlight w:val="yellow"/>
        </w:rPr>
        <w:t>.</w:t>
      </w:r>
      <w:r w:rsidR="000F51A1" w:rsidRPr="00655A19">
        <w:rPr>
          <w:sz w:val="23"/>
          <w:szCs w:val="23"/>
          <w:highlight w:val="yellow"/>
        </w:rPr>
        <w:t>0</w:t>
      </w:r>
      <w:r w:rsidR="00B678FD">
        <w:rPr>
          <w:sz w:val="23"/>
          <w:szCs w:val="23"/>
          <w:highlight w:val="yellow"/>
        </w:rPr>
        <w:t>5</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1" w:name="_Ref317667288"/>
      <w:r w:rsidRPr="00655A19">
        <w:rPr>
          <w:b/>
          <w:sz w:val="23"/>
          <w:szCs w:val="23"/>
        </w:rPr>
        <w:t>Порядок вскрытия конвертов с  заявками на участие в конкурсе.</w:t>
      </w:r>
      <w:bookmarkEnd w:id="1"/>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B678FD">
        <w:rPr>
          <w:sz w:val="23"/>
          <w:szCs w:val="23"/>
          <w:highlight w:val="yellow"/>
        </w:rPr>
        <w:t>1</w:t>
      </w:r>
      <w:r w:rsidR="00417D2C">
        <w:rPr>
          <w:sz w:val="23"/>
          <w:szCs w:val="23"/>
          <w:highlight w:val="yellow"/>
        </w:rPr>
        <w:t>1</w:t>
      </w:r>
      <w:bookmarkStart w:id="2" w:name="_GoBack"/>
      <w:bookmarkEnd w:id="2"/>
      <w:r w:rsidRPr="00C60B4F">
        <w:rPr>
          <w:sz w:val="23"/>
          <w:szCs w:val="23"/>
          <w:highlight w:val="yellow"/>
        </w:rPr>
        <w:t>.</w:t>
      </w:r>
      <w:r w:rsidR="000F51A1" w:rsidRPr="00C60B4F">
        <w:rPr>
          <w:sz w:val="23"/>
          <w:szCs w:val="23"/>
          <w:highlight w:val="yellow"/>
        </w:rPr>
        <w:t>0</w:t>
      </w:r>
      <w:r w:rsidR="00B678FD">
        <w:rPr>
          <w:sz w:val="23"/>
          <w:szCs w:val="23"/>
          <w:highlight w:val="yellow"/>
        </w:rPr>
        <w:t>5</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w:t>
      </w:r>
      <w:r w:rsidRPr="00655A19">
        <w:rPr>
          <w:sz w:val="23"/>
          <w:szCs w:val="23"/>
        </w:rPr>
        <w:lastRenderedPageBreak/>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w:t>
      </w:r>
      <w:r w:rsidR="006A235E" w:rsidRPr="00655A19">
        <w:rPr>
          <w:sz w:val="23"/>
          <w:szCs w:val="23"/>
        </w:rPr>
        <w:t>ё</w:t>
      </w:r>
      <w:r w:rsidRPr="00655A19">
        <w:rPr>
          <w:sz w:val="23"/>
          <w:szCs w:val="23"/>
        </w:rPr>
        <w:t>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w:t>
      </w:r>
      <w:r w:rsidRPr="00655A19">
        <w:rPr>
          <w:sz w:val="23"/>
          <w:szCs w:val="23"/>
        </w:rPr>
        <w:lastRenderedPageBreak/>
        <w:t>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Семидесяти пяти</w:t>
            </w:r>
            <w:r w:rsidRPr="00655A19">
              <w:rPr>
                <w:rFonts w:ascii="Times New Roman" w:eastAsia="Times New Roman" w:hAnsi="Times New Roman" w:cs="Times New Roman"/>
                <w:sz w:val="23"/>
                <w:szCs w:val="23"/>
                <w:lang w:eastAsia="ru-RU"/>
              </w:rPr>
              <w:t>)  договоров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 75 (Семидясяти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контроля качества </w:t>
            </w:r>
            <w:r w:rsidRPr="00655A19">
              <w:rPr>
                <w:rFonts w:ascii="Times New Roman" w:eastAsia="Times New Roman" w:hAnsi="Times New Roman" w:cs="Times New Roman"/>
                <w:sz w:val="23"/>
                <w:szCs w:val="23"/>
                <w:lang w:eastAsia="ru-RU"/>
              </w:rPr>
              <w:lastRenderedPageBreak/>
              <w:t>выполняемых работ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417D2C"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Rai</w:t>
      </w:r>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Amax</w:t>
      </w:r>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Ai</w:t>
      </w:r>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E5A" w:rsidRDefault="00ED0E5A" w:rsidP="00C4121A">
      <w:pPr>
        <w:spacing w:after="0" w:line="240" w:lineRule="auto"/>
      </w:pPr>
      <w:r>
        <w:separator/>
      </w:r>
    </w:p>
  </w:endnote>
  <w:endnote w:type="continuationSeparator" w:id="0">
    <w:p w:rsidR="00ED0E5A" w:rsidRDefault="00ED0E5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ED0E5A" w:rsidRDefault="00ED0E5A">
        <w:pPr>
          <w:pStyle w:val="af"/>
          <w:jc w:val="right"/>
        </w:pPr>
        <w:r>
          <w:fldChar w:fldCharType="begin"/>
        </w:r>
        <w:r>
          <w:instrText xml:space="preserve"> PAGE   \* MERGEFORMAT </w:instrText>
        </w:r>
        <w:r>
          <w:fldChar w:fldCharType="separate"/>
        </w:r>
        <w:r w:rsidR="00417D2C">
          <w:rPr>
            <w:noProof/>
          </w:rPr>
          <w:t>18</w:t>
        </w:r>
        <w:r>
          <w:rPr>
            <w:noProof/>
          </w:rPr>
          <w:fldChar w:fldCharType="end"/>
        </w:r>
      </w:p>
    </w:sdtContent>
  </w:sdt>
  <w:p w:rsidR="00ED0E5A" w:rsidRDefault="00ED0E5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E5A" w:rsidRDefault="00ED0E5A" w:rsidP="00C4121A">
      <w:pPr>
        <w:spacing w:after="0" w:line="240" w:lineRule="auto"/>
      </w:pPr>
      <w:r>
        <w:separator/>
      </w:r>
    </w:p>
  </w:footnote>
  <w:footnote w:type="continuationSeparator" w:id="0">
    <w:p w:rsidR="00ED0E5A" w:rsidRDefault="00ED0E5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A2A5C-FAEF-4BCD-938E-AFBCB59F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31E74-7E1E-40EF-9807-8CB62565B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3919</TotalTime>
  <Pages>22</Pages>
  <Words>8438</Words>
  <Characters>48102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405</cp:revision>
  <cp:lastPrinted>2016-04-14T12:38:00Z</cp:lastPrinted>
  <dcterms:created xsi:type="dcterms:W3CDTF">2013-03-18T05:08:00Z</dcterms:created>
  <dcterms:modified xsi:type="dcterms:W3CDTF">2016-04-14T12:41:00Z</dcterms:modified>
</cp:coreProperties>
</file>