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12" w:rsidRPr="00420E12" w:rsidRDefault="00420E12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420E12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>
            <wp:extent cx="12382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«Корол</w:t>
      </w:r>
      <w:r w:rsidR="00BC33B0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вская электросеть»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D74F49">
        <w:rPr>
          <w:rFonts w:ascii="Times New Roman" w:hAnsi="Times New Roman"/>
          <w:u w:val="single"/>
          <w:lang w:eastAsia="ru-RU"/>
        </w:rPr>
        <w:t xml:space="preserve">    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E55D09" w:rsidRPr="00C97EE3">
        <w:rPr>
          <w:rFonts w:ascii="Times New Roman" w:hAnsi="Times New Roman"/>
          <w:u w:val="single"/>
          <w:lang w:eastAsia="ru-RU"/>
        </w:rPr>
        <w:t xml:space="preserve"> </w:t>
      </w:r>
      <w:r w:rsidR="00D74F49">
        <w:rPr>
          <w:rFonts w:ascii="Times New Roman" w:hAnsi="Times New Roman"/>
          <w:u w:val="single"/>
          <w:lang w:eastAsia="ru-RU"/>
        </w:rPr>
        <w:t>_________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BC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 (АО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электросеть»), место нахождения: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в, ул. Гагарина, д.4а;  почтовый адрес: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в, ул. Гагарина, д.4а, e-mail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AE4B1A" w:rsidRPr="000F286C" w:rsidTr="00C97EE3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33B0" w:rsidRDefault="00BC33B0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1</w:t>
            </w:r>
          </w:p>
          <w:p w:rsidR="00A91BEF" w:rsidRPr="00E466D4" w:rsidRDefault="00AE4B1A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5FA" w:rsidRPr="000F15FA" w:rsidRDefault="000F15FA" w:rsidP="00A90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0F15F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Поставка:</w:t>
            </w:r>
          </w:p>
          <w:p w:rsidR="000F15FA" w:rsidRPr="000F15FA" w:rsidRDefault="000F15FA" w:rsidP="000F1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0F15F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Протон 40В 3200А арт.7007056 – 2 (две) шт.;</w:t>
            </w:r>
          </w:p>
          <w:p w:rsidR="000F15FA" w:rsidRPr="000F15FA" w:rsidRDefault="000F15FA" w:rsidP="000F1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0F15F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Моторный привод арт. 7007122 – 4 (четыре) шт.;</w:t>
            </w:r>
          </w:p>
          <w:p w:rsidR="000F15FA" w:rsidRPr="000F15FA" w:rsidRDefault="000F15FA" w:rsidP="000F1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0F15F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Включающая катушка арт. 7007129 – 4 (четыре) шт.;</w:t>
            </w:r>
          </w:p>
          <w:p w:rsidR="000F15FA" w:rsidRPr="000F15FA" w:rsidRDefault="000F15FA" w:rsidP="000F1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0F15F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Контакт положения «вкачено»/«испытания»/«выкачено» арт. 7007103 – 4 (четыре) шт.;</w:t>
            </w:r>
          </w:p>
          <w:p w:rsidR="000F15FA" w:rsidRPr="000F15FA" w:rsidRDefault="000F15FA" w:rsidP="000F1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0F15F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Контакт состояния готовности включено – 4 (четыре) шт.;</w:t>
            </w:r>
          </w:p>
          <w:p w:rsidR="000F15FA" w:rsidRPr="000F15FA" w:rsidRDefault="000F15FA" w:rsidP="000F1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0F15F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Протон 7007054 25В 2500А – 2 (две) шт.;</w:t>
            </w:r>
          </w:p>
          <w:p w:rsidR="005E4180" w:rsidRPr="00BC33B0" w:rsidRDefault="000F15FA" w:rsidP="00267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 w:rsidRPr="000F15F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Установка аксессуаров и настройка Протон – 4 (четыре) шт.</w:t>
            </w:r>
          </w:p>
        </w:tc>
      </w:tr>
      <w:tr w:rsidR="00AE4B1A" w:rsidRPr="000F286C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BE30A4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Московская область </w:t>
            </w:r>
            <w:r w:rsidR="00AE4B1A"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г. </w:t>
            </w: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Королев</w:t>
            </w:r>
          </w:p>
        </w:tc>
      </w:tr>
      <w:tr w:rsidR="00AE4B1A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DB9" w:rsidRPr="00E466D4" w:rsidRDefault="000F15FA" w:rsidP="000F1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1 151 156</w:t>
            </w:r>
            <w:r w:rsidR="00DD48C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,00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Один миллион сто пятьдесят одна тысяча сто пятьдесят шесть 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 </w:t>
            </w:r>
            <w:r w:rsidR="00DD48C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 w:rsidR="00BC176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й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к</w:t>
            </w:r>
            <w:r w:rsidR="00BC176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и)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4509A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1A4DCF" w:rsidRPr="000F286C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9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.ru</w:t>
              </w:r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A4DCF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1A4DCF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 w:rsidR="008F0CA8"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D74F49">
        <w:rPr>
          <w:b w:val="0"/>
          <w:sz w:val="24"/>
          <w:szCs w:val="24"/>
        </w:rPr>
        <w:t xml:space="preserve">   </w:t>
      </w:r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D74F49">
        <w:rPr>
          <w:b w:val="0"/>
          <w:sz w:val="24"/>
          <w:szCs w:val="24"/>
        </w:rPr>
        <w:t>_____________</w:t>
      </w:r>
      <w:bookmarkStart w:id="0" w:name="_GoBack"/>
      <w:bookmarkEnd w:id="0"/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45DBB" w:rsidRPr="00DD48CB" w:rsidRDefault="001E0780" w:rsidP="00B81D1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DD48CB">
        <w:rPr>
          <w:rFonts w:ascii="Times New Roman" w:hAnsi="Times New Roman"/>
          <w:b/>
          <w:sz w:val="24"/>
          <w:szCs w:val="24"/>
        </w:rPr>
        <w:t>У ЕДИНСТВЕННОГО ПОСТАВЩИКА (ПОДРЯДЧИКА, ИСПОЛНИТЕЛЯ</w:t>
      </w:r>
      <w:r w:rsidR="00363FEE" w:rsidRPr="00DD48CB">
        <w:rPr>
          <w:rFonts w:ascii="Times New Roman" w:hAnsi="Times New Roman"/>
          <w:b/>
          <w:sz w:val="24"/>
          <w:szCs w:val="24"/>
        </w:rPr>
        <w:t xml:space="preserve">) </w:t>
      </w:r>
    </w:p>
    <w:p w:rsidR="000F15FA" w:rsidRPr="000F15FA" w:rsidRDefault="000F15FA" w:rsidP="00267C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F15FA">
        <w:rPr>
          <w:rFonts w:ascii="Times New Roman" w:hAnsi="Times New Roman" w:cs="Times New Roman"/>
          <w:sz w:val="24"/>
          <w:szCs w:val="24"/>
          <w:lang w:eastAsia="ru-RU"/>
        </w:rPr>
        <w:t>Протон 40В 3200А арт.7007056 – 2 (две) шт.;</w:t>
      </w:r>
    </w:p>
    <w:p w:rsidR="000F15FA" w:rsidRPr="000F15FA" w:rsidRDefault="000F15FA" w:rsidP="00267C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F15FA">
        <w:rPr>
          <w:rFonts w:ascii="Times New Roman" w:hAnsi="Times New Roman" w:cs="Times New Roman"/>
          <w:sz w:val="24"/>
          <w:szCs w:val="24"/>
          <w:lang w:eastAsia="ru-RU"/>
        </w:rPr>
        <w:t>Моторный привод арт. 7007122 – 4 (четыре) шт.;</w:t>
      </w:r>
    </w:p>
    <w:p w:rsidR="000F15FA" w:rsidRPr="000F15FA" w:rsidRDefault="000F15FA" w:rsidP="00267C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F15FA">
        <w:rPr>
          <w:rFonts w:ascii="Times New Roman" w:hAnsi="Times New Roman" w:cs="Times New Roman"/>
          <w:sz w:val="24"/>
          <w:szCs w:val="24"/>
          <w:lang w:eastAsia="ru-RU"/>
        </w:rPr>
        <w:t>Включающая катушка арт. 7007129 – 4 (четыре) шт.;</w:t>
      </w:r>
    </w:p>
    <w:p w:rsidR="000F15FA" w:rsidRPr="000F15FA" w:rsidRDefault="000F15FA" w:rsidP="00267C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F15FA">
        <w:rPr>
          <w:rFonts w:ascii="Times New Roman" w:hAnsi="Times New Roman" w:cs="Times New Roman"/>
          <w:sz w:val="24"/>
          <w:szCs w:val="24"/>
          <w:lang w:eastAsia="ru-RU"/>
        </w:rPr>
        <w:t>Контакт положения «вкачено»/«испытания»/«выкачено» арт. 7007103 – 4 (четыре) шт.;</w:t>
      </w:r>
    </w:p>
    <w:p w:rsidR="000F15FA" w:rsidRPr="000F15FA" w:rsidRDefault="000F15FA" w:rsidP="00267C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F15FA">
        <w:rPr>
          <w:rFonts w:ascii="Times New Roman" w:hAnsi="Times New Roman" w:cs="Times New Roman"/>
          <w:sz w:val="24"/>
          <w:szCs w:val="24"/>
          <w:lang w:eastAsia="ru-RU"/>
        </w:rPr>
        <w:t>Контакт состояния готовности включено – 4 (четыре) шт.;</w:t>
      </w:r>
    </w:p>
    <w:p w:rsidR="000F15FA" w:rsidRPr="000F15FA" w:rsidRDefault="000F15FA" w:rsidP="00267C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F15FA">
        <w:rPr>
          <w:rFonts w:ascii="Times New Roman" w:hAnsi="Times New Roman" w:cs="Times New Roman"/>
          <w:sz w:val="24"/>
          <w:szCs w:val="24"/>
          <w:lang w:eastAsia="ru-RU"/>
        </w:rPr>
        <w:t>Протон 7007054 25В 2500А – 2 (две) шт.;</w:t>
      </w:r>
    </w:p>
    <w:p w:rsidR="000F15FA" w:rsidRPr="000F15FA" w:rsidRDefault="000F15FA" w:rsidP="00267C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F15FA">
        <w:rPr>
          <w:rFonts w:ascii="Times New Roman" w:hAnsi="Times New Roman" w:cs="Times New Roman"/>
          <w:sz w:val="24"/>
          <w:szCs w:val="24"/>
          <w:lang w:eastAsia="ru-RU"/>
        </w:rPr>
        <w:t>Установка аксессуаров и настройка Протон – 4 (четыре) шт.</w:t>
      </w:r>
    </w:p>
    <w:p w:rsidR="00267C10" w:rsidRDefault="00267C1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Pr="00205DB9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№0</w:t>
      </w:r>
      <w:r w:rsidR="000F15FA">
        <w:rPr>
          <w:rFonts w:ascii="Times New Roman" w:hAnsi="Times New Roman"/>
          <w:sz w:val="24"/>
          <w:szCs w:val="24"/>
          <w:lang w:eastAsia="ru-RU"/>
        </w:rPr>
        <w:t>22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DD48CB">
        <w:rPr>
          <w:rFonts w:ascii="Times New Roman" w:hAnsi="Times New Roman"/>
          <w:sz w:val="24"/>
          <w:szCs w:val="24"/>
          <w:lang w:eastAsia="ru-RU"/>
        </w:rPr>
        <w:t>П</w:t>
      </w:r>
      <w:r w:rsidR="0094509A">
        <w:rPr>
          <w:rFonts w:ascii="Times New Roman" w:hAnsi="Times New Roman"/>
          <w:sz w:val="24"/>
          <w:szCs w:val="24"/>
          <w:lang w:eastAsia="ru-RU"/>
        </w:rPr>
        <w:t>Р</w:t>
      </w:r>
    </w:p>
    <w:p w:rsidR="00E9654F" w:rsidRPr="00205DB9" w:rsidRDefault="00E9654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267C10" w:rsidRDefault="00267C10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267C10" w:rsidRDefault="00267C10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267C10" w:rsidRDefault="00267C10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267C10" w:rsidRDefault="00267C10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3D13A2" w:rsidRDefault="003B33FA" w:rsidP="00DD48C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 xml:space="preserve">заключение договора </w:t>
      </w:r>
      <w:r w:rsidR="00CD5BCF">
        <w:rPr>
          <w:bCs/>
          <w:sz w:val="24"/>
          <w:szCs w:val="24"/>
        </w:rPr>
        <w:t>на</w:t>
      </w:r>
      <w:r w:rsidR="000F15FA">
        <w:rPr>
          <w:bCs/>
          <w:sz w:val="24"/>
          <w:szCs w:val="24"/>
        </w:rPr>
        <w:t xml:space="preserve"> поставку</w:t>
      </w:r>
      <w:r w:rsidR="003D13A2">
        <w:rPr>
          <w:bCs/>
          <w:sz w:val="24"/>
          <w:szCs w:val="24"/>
        </w:rPr>
        <w:t>:</w:t>
      </w:r>
    </w:p>
    <w:p w:rsidR="000F15FA" w:rsidRPr="000F15FA" w:rsidRDefault="000F15FA" w:rsidP="00267C10">
      <w:pPr>
        <w:pStyle w:val="3"/>
        <w:numPr>
          <w:ilvl w:val="0"/>
          <w:numId w:val="0"/>
        </w:numPr>
        <w:spacing w:line="240" w:lineRule="auto"/>
        <w:ind w:left="794"/>
        <w:rPr>
          <w:bCs/>
          <w:sz w:val="24"/>
          <w:szCs w:val="24"/>
        </w:rPr>
      </w:pPr>
      <w:r w:rsidRPr="000F15FA">
        <w:rPr>
          <w:bCs/>
          <w:sz w:val="24"/>
          <w:szCs w:val="24"/>
        </w:rPr>
        <w:t>Протон 40В 3200А арт.7007056 – 2 (две) шт.;</w:t>
      </w:r>
    </w:p>
    <w:p w:rsidR="000F15FA" w:rsidRPr="000F15FA" w:rsidRDefault="000F15FA" w:rsidP="00267C10">
      <w:pPr>
        <w:pStyle w:val="3"/>
        <w:numPr>
          <w:ilvl w:val="0"/>
          <w:numId w:val="0"/>
        </w:numPr>
        <w:spacing w:line="240" w:lineRule="auto"/>
        <w:ind w:left="794"/>
        <w:rPr>
          <w:bCs/>
          <w:sz w:val="24"/>
          <w:szCs w:val="24"/>
        </w:rPr>
      </w:pPr>
      <w:r w:rsidRPr="000F15FA">
        <w:rPr>
          <w:bCs/>
          <w:sz w:val="24"/>
          <w:szCs w:val="24"/>
        </w:rPr>
        <w:t>Моторный привод арт. 7007122 – 4 (четыре) шт.;</w:t>
      </w:r>
    </w:p>
    <w:p w:rsidR="000F15FA" w:rsidRPr="000F15FA" w:rsidRDefault="000F15FA" w:rsidP="00267C10">
      <w:pPr>
        <w:pStyle w:val="3"/>
        <w:numPr>
          <w:ilvl w:val="0"/>
          <w:numId w:val="0"/>
        </w:numPr>
        <w:spacing w:line="240" w:lineRule="auto"/>
        <w:ind w:left="794"/>
        <w:rPr>
          <w:bCs/>
          <w:sz w:val="24"/>
          <w:szCs w:val="24"/>
        </w:rPr>
      </w:pPr>
      <w:r w:rsidRPr="000F15FA">
        <w:rPr>
          <w:bCs/>
          <w:sz w:val="24"/>
          <w:szCs w:val="24"/>
        </w:rPr>
        <w:t>Включающая катушка арт. 7007129 – 4 (четыре) шт.;</w:t>
      </w:r>
    </w:p>
    <w:p w:rsidR="000F15FA" w:rsidRPr="000F15FA" w:rsidRDefault="000F15FA" w:rsidP="00267C10">
      <w:pPr>
        <w:pStyle w:val="3"/>
        <w:numPr>
          <w:ilvl w:val="0"/>
          <w:numId w:val="0"/>
        </w:numPr>
        <w:spacing w:line="240" w:lineRule="auto"/>
        <w:ind w:left="794"/>
        <w:rPr>
          <w:bCs/>
          <w:sz w:val="24"/>
          <w:szCs w:val="24"/>
        </w:rPr>
      </w:pPr>
      <w:r w:rsidRPr="000F15FA">
        <w:rPr>
          <w:bCs/>
          <w:sz w:val="24"/>
          <w:szCs w:val="24"/>
        </w:rPr>
        <w:t>Контакт положения «вкачено»/«испытания»/«выкачено» арт. 7007103 – 4 (четыре) шт.;</w:t>
      </w:r>
    </w:p>
    <w:p w:rsidR="000F15FA" w:rsidRPr="000F15FA" w:rsidRDefault="000F15FA" w:rsidP="00267C10">
      <w:pPr>
        <w:pStyle w:val="3"/>
        <w:numPr>
          <w:ilvl w:val="0"/>
          <w:numId w:val="0"/>
        </w:numPr>
        <w:spacing w:line="240" w:lineRule="auto"/>
        <w:ind w:left="794"/>
        <w:rPr>
          <w:bCs/>
          <w:sz w:val="24"/>
          <w:szCs w:val="24"/>
        </w:rPr>
      </w:pPr>
      <w:r w:rsidRPr="000F15FA">
        <w:rPr>
          <w:bCs/>
          <w:sz w:val="24"/>
          <w:szCs w:val="24"/>
        </w:rPr>
        <w:t>Контакт состояния готовности включено – 4 (четыре) шт.;</w:t>
      </w:r>
    </w:p>
    <w:p w:rsidR="000F15FA" w:rsidRPr="000F15FA" w:rsidRDefault="000F15FA" w:rsidP="00267C10">
      <w:pPr>
        <w:pStyle w:val="3"/>
        <w:numPr>
          <w:ilvl w:val="0"/>
          <w:numId w:val="0"/>
        </w:numPr>
        <w:spacing w:line="240" w:lineRule="auto"/>
        <w:ind w:left="794"/>
        <w:rPr>
          <w:bCs/>
          <w:sz w:val="24"/>
          <w:szCs w:val="24"/>
        </w:rPr>
      </w:pPr>
      <w:r w:rsidRPr="000F15FA">
        <w:rPr>
          <w:bCs/>
          <w:sz w:val="24"/>
          <w:szCs w:val="24"/>
        </w:rPr>
        <w:t>Протон 7007054 25В 2500А – 2 (две) шт.;</w:t>
      </w:r>
    </w:p>
    <w:p w:rsidR="000F15FA" w:rsidRPr="000F15FA" w:rsidRDefault="000F15FA" w:rsidP="00267C10">
      <w:pPr>
        <w:pStyle w:val="3"/>
        <w:numPr>
          <w:ilvl w:val="0"/>
          <w:numId w:val="0"/>
        </w:numPr>
        <w:spacing w:line="240" w:lineRule="auto"/>
        <w:ind w:left="794"/>
        <w:rPr>
          <w:bCs/>
          <w:sz w:val="24"/>
          <w:szCs w:val="24"/>
        </w:rPr>
      </w:pPr>
      <w:r w:rsidRPr="000F15FA">
        <w:rPr>
          <w:bCs/>
          <w:sz w:val="24"/>
          <w:szCs w:val="24"/>
        </w:rPr>
        <w:t>Установка аксессуаров и настройка Протон – 4 (четыре) шт.</w:t>
      </w:r>
    </w:p>
    <w:p w:rsidR="003B33FA" w:rsidRPr="0094509A" w:rsidRDefault="000F15FA" w:rsidP="003D13A2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 </w:t>
      </w:r>
      <w:r w:rsidR="003B33FA"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="003B33FA"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«Корол</w:t>
      </w:r>
      <w:r w:rsidR="00511094">
        <w:rPr>
          <w:sz w:val="24"/>
          <w:szCs w:val="24"/>
        </w:rPr>
        <w:t>ё</w:t>
      </w:r>
      <w:r w:rsidRPr="00205DB9">
        <w:rPr>
          <w:sz w:val="24"/>
          <w:szCs w:val="24"/>
        </w:rPr>
        <w:t>вская электросеть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4"/>
          <w:szCs w:val="24"/>
        </w:rPr>
      </w:pP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3B33FA">
      <w:pPr>
        <w:pStyle w:val="ac"/>
        <w:rPr>
          <w:bCs/>
          <w:sz w:val="24"/>
          <w:szCs w:val="24"/>
        </w:rPr>
      </w:pPr>
    </w:p>
    <w:p w:rsidR="00A90D90" w:rsidRDefault="00A90D90" w:rsidP="00A90D90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A90D90">
        <w:rPr>
          <w:b/>
          <w:bCs/>
          <w:sz w:val="26"/>
          <w:szCs w:val="26"/>
        </w:rPr>
        <w:t xml:space="preserve">Документация о </w:t>
      </w:r>
      <w:r w:rsidRPr="00A90D90">
        <w:rPr>
          <w:bCs/>
          <w:sz w:val="26"/>
          <w:szCs w:val="26"/>
          <w:highlight w:val="yellow"/>
        </w:rPr>
        <w:t xml:space="preserve">закупке у единственного поставщика (подрядчика, исполнителя) </w:t>
      </w:r>
      <w:r>
        <w:rPr>
          <w:bCs/>
          <w:sz w:val="26"/>
          <w:szCs w:val="26"/>
          <w:highlight w:val="yellow"/>
        </w:rPr>
        <w:t>на</w:t>
      </w:r>
      <w:r w:rsidR="000F15FA">
        <w:rPr>
          <w:bCs/>
          <w:sz w:val="26"/>
          <w:szCs w:val="26"/>
          <w:highlight w:val="yellow"/>
        </w:rPr>
        <w:t xml:space="preserve"> поставку</w:t>
      </w:r>
      <w:r>
        <w:rPr>
          <w:bCs/>
          <w:sz w:val="26"/>
          <w:szCs w:val="26"/>
          <w:highlight w:val="yellow"/>
        </w:rPr>
        <w:t>:</w:t>
      </w:r>
    </w:p>
    <w:p w:rsidR="000F15FA" w:rsidRPr="000F15FA" w:rsidRDefault="000F15FA" w:rsidP="000F15FA">
      <w:pPr>
        <w:pStyle w:val="3"/>
        <w:numPr>
          <w:ilvl w:val="0"/>
          <w:numId w:val="0"/>
        </w:numPr>
        <w:ind w:left="792"/>
        <w:rPr>
          <w:bCs/>
          <w:sz w:val="24"/>
          <w:szCs w:val="24"/>
        </w:rPr>
      </w:pPr>
      <w:r w:rsidRPr="000F15FA">
        <w:rPr>
          <w:bCs/>
          <w:sz w:val="24"/>
          <w:szCs w:val="24"/>
        </w:rPr>
        <w:t>Протон 40В 3200А арт.7007056 – 2 (две) шт.;</w:t>
      </w:r>
    </w:p>
    <w:p w:rsidR="000F15FA" w:rsidRPr="000F15FA" w:rsidRDefault="000F15FA" w:rsidP="000F15FA">
      <w:pPr>
        <w:pStyle w:val="3"/>
        <w:numPr>
          <w:ilvl w:val="0"/>
          <w:numId w:val="0"/>
        </w:numPr>
        <w:ind w:left="792"/>
        <w:rPr>
          <w:bCs/>
          <w:sz w:val="24"/>
          <w:szCs w:val="24"/>
        </w:rPr>
      </w:pPr>
      <w:r w:rsidRPr="000F15FA">
        <w:rPr>
          <w:bCs/>
          <w:sz w:val="24"/>
          <w:szCs w:val="24"/>
        </w:rPr>
        <w:t>Моторный привод арт. 7007122 – 4 (четыре) шт.;</w:t>
      </w:r>
    </w:p>
    <w:p w:rsidR="000F15FA" w:rsidRPr="000F15FA" w:rsidRDefault="000F15FA" w:rsidP="000F15FA">
      <w:pPr>
        <w:pStyle w:val="3"/>
        <w:numPr>
          <w:ilvl w:val="0"/>
          <w:numId w:val="0"/>
        </w:numPr>
        <w:ind w:left="792"/>
        <w:rPr>
          <w:bCs/>
          <w:sz w:val="24"/>
          <w:szCs w:val="24"/>
        </w:rPr>
      </w:pPr>
      <w:r w:rsidRPr="000F15FA">
        <w:rPr>
          <w:bCs/>
          <w:sz w:val="24"/>
          <w:szCs w:val="24"/>
        </w:rPr>
        <w:t>Включающая катушка арт. 7007129 – 4 (четыре) шт.;</w:t>
      </w:r>
    </w:p>
    <w:p w:rsidR="000F15FA" w:rsidRPr="000F15FA" w:rsidRDefault="000F15FA" w:rsidP="000F15FA">
      <w:pPr>
        <w:pStyle w:val="3"/>
        <w:numPr>
          <w:ilvl w:val="0"/>
          <w:numId w:val="0"/>
        </w:numPr>
        <w:ind w:left="792"/>
        <w:rPr>
          <w:bCs/>
          <w:sz w:val="24"/>
          <w:szCs w:val="24"/>
        </w:rPr>
      </w:pPr>
      <w:r w:rsidRPr="000F15FA">
        <w:rPr>
          <w:bCs/>
          <w:sz w:val="24"/>
          <w:szCs w:val="24"/>
        </w:rPr>
        <w:t>Контакт положения «вкачено»/«испытания»/«выкачено» арт. 7007103 – 4 (четыре) шт.;</w:t>
      </w:r>
    </w:p>
    <w:p w:rsidR="000F15FA" w:rsidRPr="000F15FA" w:rsidRDefault="000F15FA" w:rsidP="000F15FA">
      <w:pPr>
        <w:pStyle w:val="3"/>
        <w:numPr>
          <w:ilvl w:val="0"/>
          <w:numId w:val="0"/>
        </w:numPr>
        <w:ind w:left="792"/>
        <w:rPr>
          <w:bCs/>
          <w:sz w:val="24"/>
          <w:szCs w:val="24"/>
        </w:rPr>
      </w:pPr>
      <w:r w:rsidRPr="000F15FA">
        <w:rPr>
          <w:bCs/>
          <w:sz w:val="24"/>
          <w:szCs w:val="24"/>
        </w:rPr>
        <w:t>Контакт состояния готовности включено – 4 (четыре) шт.;</w:t>
      </w:r>
    </w:p>
    <w:p w:rsidR="000F15FA" w:rsidRPr="000F15FA" w:rsidRDefault="000F15FA" w:rsidP="000F15FA">
      <w:pPr>
        <w:pStyle w:val="3"/>
        <w:numPr>
          <w:ilvl w:val="0"/>
          <w:numId w:val="0"/>
        </w:numPr>
        <w:ind w:left="792"/>
        <w:rPr>
          <w:bCs/>
          <w:sz w:val="24"/>
          <w:szCs w:val="24"/>
        </w:rPr>
      </w:pPr>
      <w:r w:rsidRPr="000F15FA">
        <w:rPr>
          <w:bCs/>
          <w:sz w:val="24"/>
          <w:szCs w:val="24"/>
        </w:rPr>
        <w:t>Протон 7007054 25В 2500А – 2 (две) шт.;</w:t>
      </w:r>
    </w:p>
    <w:p w:rsidR="000F15FA" w:rsidRPr="000F15FA" w:rsidRDefault="000F15FA" w:rsidP="000F15FA">
      <w:pPr>
        <w:pStyle w:val="3"/>
        <w:numPr>
          <w:ilvl w:val="0"/>
          <w:numId w:val="0"/>
        </w:numPr>
        <w:ind w:left="792"/>
        <w:rPr>
          <w:bCs/>
          <w:sz w:val="26"/>
          <w:szCs w:val="26"/>
        </w:rPr>
      </w:pPr>
      <w:r w:rsidRPr="000F15FA">
        <w:rPr>
          <w:bCs/>
          <w:sz w:val="24"/>
          <w:szCs w:val="24"/>
        </w:rPr>
        <w:t>Установка аксессуаров и настройка Протон – 4 (четыре) шт</w:t>
      </w:r>
      <w:r w:rsidRPr="000F15FA">
        <w:rPr>
          <w:bCs/>
          <w:sz w:val="26"/>
          <w:szCs w:val="26"/>
        </w:rPr>
        <w:t>.</w:t>
      </w:r>
    </w:p>
    <w:p w:rsidR="00A90D90" w:rsidRPr="00267C10" w:rsidRDefault="000F15FA" w:rsidP="00267C10">
      <w:pPr>
        <w:spacing w:after="0" w:line="240" w:lineRule="auto"/>
        <w:ind w:left="851" w:firstLine="373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267C1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="00A90D90" w:rsidRPr="00267C1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DD4A8F" w:rsidRPr="00205DB9" w:rsidRDefault="00DD4A8F" w:rsidP="003B13EB">
      <w:pPr>
        <w:pStyle w:val="ac"/>
        <w:rPr>
          <w:bCs/>
          <w:sz w:val="24"/>
          <w:szCs w:val="24"/>
        </w:rPr>
      </w:pPr>
    </w:p>
    <w:p w:rsidR="003B33FA" w:rsidRPr="00205DB9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0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</w:t>
      </w:r>
      <w:r w:rsidR="00511094">
        <w:rPr>
          <w:bCs/>
          <w:sz w:val="24"/>
          <w:szCs w:val="24"/>
        </w:rPr>
        <w:t>ё</w:t>
      </w:r>
      <w:r w:rsidRPr="00205DB9">
        <w:rPr>
          <w:bCs/>
          <w:sz w:val="24"/>
          <w:szCs w:val="24"/>
        </w:rPr>
        <w:t>вская электросеть»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lastRenderedPageBreak/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 xml:space="preserve">на официальном </w:t>
      </w:r>
      <w:r w:rsidR="003651A7" w:rsidRPr="00205DB9">
        <w:rPr>
          <w:rStyle w:val="rvts31451"/>
          <w:sz w:val="24"/>
          <w:szCs w:val="24"/>
        </w:rPr>
        <w:t xml:space="preserve"> </w:t>
      </w:r>
      <w:r w:rsidR="00E054BD" w:rsidRPr="00205DB9">
        <w:rPr>
          <w:rStyle w:val="rvts31451"/>
          <w:sz w:val="24"/>
          <w:szCs w:val="24"/>
        </w:rPr>
        <w:t>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1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511094" w:rsidRDefault="003F5E34" w:rsidP="00267C10">
      <w:pPr>
        <w:pStyle w:val="3"/>
        <w:numPr>
          <w:ilvl w:val="0"/>
          <w:numId w:val="0"/>
        </w:numPr>
        <w:spacing w:line="240" w:lineRule="auto"/>
        <w:ind w:left="794"/>
        <w:rPr>
          <w:sz w:val="24"/>
          <w:szCs w:val="24"/>
        </w:rPr>
      </w:pPr>
      <w:r w:rsidRPr="0094509A">
        <w:rPr>
          <w:sz w:val="24"/>
          <w:szCs w:val="24"/>
        </w:rPr>
        <w:t xml:space="preserve">Предметом закупки является право </w:t>
      </w:r>
      <w:r w:rsidR="00BE5D0A" w:rsidRPr="0094509A">
        <w:rPr>
          <w:bCs/>
          <w:sz w:val="24"/>
          <w:szCs w:val="24"/>
        </w:rPr>
        <w:t xml:space="preserve">заключение договора </w:t>
      </w:r>
      <w:r w:rsidR="00CD5BCF">
        <w:rPr>
          <w:sz w:val="24"/>
          <w:szCs w:val="24"/>
        </w:rPr>
        <w:t>на</w:t>
      </w:r>
      <w:r w:rsidR="00511094">
        <w:rPr>
          <w:sz w:val="24"/>
          <w:szCs w:val="24"/>
        </w:rPr>
        <w:t xml:space="preserve"> поставку:</w:t>
      </w:r>
    </w:p>
    <w:p w:rsidR="000F15FA" w:rsidRPr="000F15FA" w:rsidRDefault="000F15FA" w:rsidP="00267C10">
      <w:pPr>
        <w:pStyle w:val="3"/>
        <w:numPr>
          <w:ilvl w:val="0"/>
          <w:numId w:val="0"/>
        </w:numPr>
        <w:spacing w:line="240" w:lineRule="auto"/>
        <w:ind w:left="794"/>
        <w:rPr>
          <w:sz w:val="24"/>
          <w:szCs w:val="24"/>
        </w:rPr>
      </w:pPr>
      <w:r w:rsidRPr="000F15FA">
        <w:rPr>
          <w:sz w:val="24"/>
          <w:szCs w:val="24"/>
        </w:rPr>
        <w:t>Протон 40В 3200А арт.7007056 – 2 (две) шт.;</w:t>
      </w:r>
    </w:p>
    <w:p w:rsidR="000F15FA" w:rsidRPr="000F15FA" w:rsidRDefault="000F15FA" w:rsidP="00267C10">
      <w:pPr>
        <w:pStyle w:val="3"/>
        <w:numPr>
          <w:ilvl w:val="0"/>
          <w:numId w:val="0"/>
        </w:numPr>
        <w:spacing w:line="240" w:lineRule="auto"/>
        <w:ind w:left="794"/>
        <w:rPr>
          <w:sz w:val="24"/>
          <w:szCs w:val="24"/>
        </w:rPr>
      </w:pPr>
      <w:r w:rsidRPr="000F15FA">
        <w:rPr>
          <w:sz w:val="24"/>
          <w:szCs w:val="24"/>
        </w:rPr>
        <w:t>Моторный привод арт. 7007122 – 4 (четыре) шт.;</w:t>
      </w:r>
    </w:p>
    <w:p w:rsidR="000F15FA" w:rsidRPr="000F15FA" w:rsidRDefault="000F15FA" w:rsidP="00267C10">
      <w:pPr>
        <w:pStyle w:val="3"/>
        <w:numPr>
          <w:ilvl w:val="0"/>
          <w:numId w:val="0"/>
        </w:numPr>
        <w:spacing w:line="240" w:lineRule="auto"/>
        <w:ind w:left="794"/>
        <w:rPr>
          <w:sz w:val="24"/>
          <w:szCs w:val="24"/>
        </w:rPr>
      </w:pPr>
      <w:r w:rsidRPr="000F15FA">
        <w:rPr>
          <w:sz w:val="24"/>
          <w:szCs w:val="24"/>
        </w:rPr>
        <w:t>Включающая катушка арт. 7007129 – 4 (четыре) шт.;</w:t>
      </w:r>
    </w:p>
    <w:p w:rsidR="000F15FA" w:rsidRPr="000F15FA" w:rsidRDefault="000F15FA" w:rsidP="00267C10">
      <w:pPr>
        <w:pStyle w:val="3"/>
        <w:numPr>
          <w:ilvl w:val="0"/>
          <w:numId w:val="0"/>
        </w:numPr>
        <w:spacing w:line="240" w:lineRule="auto"/>
        <w:ind w:left="794"/>
        <w:rPr>
          <w:sz w:val="24"/>
          <w:szCs w:val="24"/>
        </w:rPr>
      </w:pPr>
      <w:r w:rsidRPr="000F15FA">
        <w:rPr>
          <w:sz w:val="24"/>
          <w:szCs w:val="24"/>
        </w:rPr>
        <w:t>Контакт положения «вкачено»/«испытания»/«выкачено» арт. 7007103 – 4 (четыре) шт.;</w:t>
      </w:r>
    </w:p>
    <w:p w:rsidR="000F15FA" w:rsidRPr="000F15FA" w:rsidRDefault="000F15FA" w:rsidP="00267C10">
      <w:pPr>
        <w:pStyle w:val="3"/>
        <w:numPr>
          <w:ilvl w:val="0"/>
          <w:numId w:val="0"/>
        </w:numPr>
        <w:spacing w:line="240" w:lineRule="auto"/>
        <w:ind w:left="794"/>
        <w:rPr>
          <w:sz w:val="24"/>
          <w:szCs w:val="24"/>
        </w:rPr>
      </w:pPr>
      <w:r w:rsidRPr="000F15FA">
        <w:rPr>
          <w:sz w:val="24"/>
          <w:szCs w:val="24"/>
        </w:rPr>
        <w:t>Контакт состояния готовности включено – 4 (четыре) шт.;</w:t>
      </w:r>
    </w:p>
    <w:p w:rsidR="000F15FA" w:rsidRPr="000F15FA" w:rsidRDefault="000F15FA" w:rsidP="00267C10">
      <w:pPr>
        <w:pStyle w:val="3"/>
        <w:numPr>
          <w:ilvl w:val="0"/>
          <w:numId w:val="0"/>
        </w:numPr>
        <w:spacing w:line="240" w:lineRule="auto"/>
        <w:ind w:left="794"/>
        <w:rPr>
          <w:sz w:val="24"/>
          <w:szCs w:val="24"/>
        </w:rPr>
      </w:pPr>
      <w:r w:rsidRPr="000F15FA">
        <w:rPr>
          <w:sz w:val="24"/>
          <w:szCs w:val="24"/>
        </w:rPr>
        <w:t>Протон 7007054 25В 2500А – 2 (две) шт.;</w:t>
      </w:r>
    </w:p>
    <w:p w:rsidR="000F15FA" w:rsidRPr="000F15FA" w:rsidRDefault="000F15FA" w:rsidP="00267C10">
      <w:pPr>
        <w:pStyle w:val="3"/>
        <w:numPr>
          <w:ilvl w:val="0"/>
          <w:numId w:val="0"/>
        </w:numPr>
        <w:spacing w:line="240" w:lineRule="auto"/>
        <w:ind w:left="794"/>
        <w:rPr>
          <w:sz w:val="24"/>
          <w:szCs w:val="24"/>
        </w:rPr>
      </w:pPr>
      <w:r w:rsidRPr="000F15FA">
        <w:rPr>
          <w:sz w:val="24"/>
          <w:szCs w:val="24"/>
        </w:rPr>
        <w:t>Установка аксессуаров и настройка Протон – 4 (четыре) шт.</w:t>
      </w:r>
    </w:p>
    <w:p w:rsidR="00DD4A8F" w:rsidRDefault="00DD4A8F" w:rsidP="00D96BD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 xml:space="preserve">ена договора </w:t>
      </w:r>
      <w:r w:rsidR="009E4991" w:rsidRPr="0094509A">
        <w:rPr>
          <w:sz w:val="24"/>
          <w:szCs w:val="24"/>
        </w:rPr>
        <w:t xml:space="preserve"> –</w:t>
      </w:r>
    </w:p>
    <w:p w:rsidR="000F15FA" w:rsidRDefault="000F15FA" w:rsidP="000F15F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  <w:r w:rsidRPr="000F15FA">
        <w:rPr>
          <w:i/>
          <w:sz w:val="24"/>
          <w:szCs w:val="24"/>
          <w:u w:val="single"/>
        </w:rPr>
        <w:t xml:space="preserve">1 151 156,00 ( Один миллион сто пятьдесят одна тысяча сто пятьдесят шесть  рублей 00 копейки) (с учетом всех расходов, налогов, сборов, связанных с заключением и выполнением </w:t>
      </w:r>
      <w:r>
        <w:rPr>
          <w:i/>
          <w:sz w:val="24"/>
          <w:szCs w:val="24"/>
          <w:u w:val="single"/>
        </w:rPr>
        <w:t>договора).</w:t>
      </w:r>
    </w:p>
    <w:p w:rsidR="000F15FA" w:rsidRPr="0094509A" w:rsidRDefault="000F15FA" w:rsidP="000F15F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F5E34" w:rsidRPr="00205DB9" w:rsidRDefault="003F5E34" w:rsidP="00267C10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851"/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</w:t>
      </w:r>
      <w:r w:rsidR="00A90D90">
        <w:rPr>
          <w:sz w:val="24"/>
          <w:szCs w:val="24"/>
        </w:rPr>
        <w:t>ами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lastRenderedPageBreak/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r w:rsidRPr="00205DB9">
        <w:rPr>
          <w:rFonts w:eastAsia="Times New Roman"/>
          <w:snapToGrid w:val="0"/>
          <w:sz w:val="24"/>
          <w:szCs w:val="24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  <w:r w:rsidR="000F15FA">
        <w:rPr>
          <w:rFonts w:ascii="Times New Roman" w:hAnsi="Times New Roman" w:cs="Times New Roman"/>
          <w:sz w:val="24"/>
          <w:szCs w:val="24"/>
        </w:rPr>
        <w:t>.</w:t>
      </w:r>
    </w:p>
    <w:sectPr w:rsidR="00363FEE" w:rsidRPr="00205DB9" w:rsidSect="001C6580">
      <w:footerReference w:type="default" r:id="rId12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D74F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15FA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6891"/>
    <w:rsid w:val="00254A34"/>
    <w:rsid w:val="002621A5"/>
    <w:rsid w:val="0026523E"/>
    <w:rsid w:val="00266633"/>
    <w:rsid w:val="00267C10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F60"/>
    <w:rsid w:val="003E6B0D"/>
    <w:rsid w:val="003F1FCE"/>
    <w:rsid w:val="003F5E34"/>
    <w:rsid w:val="00401F9E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24F3"/>
    <w:rsid w:val="00652C1E"/>
    <w:rsid w:val="00653C20"/>
    <w:rsid w:val="0065438E"/>
    <w:rsid w:val="006563CF"/>
    <w:rsid w:val="00670B4D"/>
    <w:rsid w:val="00671C15"/>
    <w:rsid w:val="00675F22"/>
    <w:rsid w:val="0068531C"/>
    <w:rsid w:val="006906E1"/>
    <w:rsid w:val="00692639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0D90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1DAC"/>
    <w:rsid w:val="00CE352D"/>
    <w:rsid w:val="00CE7739"/>
    <w:rsid w:val="00CF05D6"/>
    <w:rsid w:val="00CF436C"/>
    <w:rsid w:val="00D0068A"/>
    <w:rsid w:val="00D03161"/>
    <w:rsid w:val="00D06093"/>
    <w:rsid w:val="00D164CA"/>
    <w:rsid w:val="00D250D5"/>
    <w:rsid w:val="00D27E0D"/>
    <w:rsid w:val="00D3127F"/>
    <w:rsid w:val="00D320A4"/>
    <w:rsid w:val="00D34694"/>
    <w:rsid w:val="00D3555B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74F49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7B24"/>
    <w:rsid w:val="00DD3874"/>
    <w:rsid w:val="00DD48CB"/>
    <w:rsid w:val="00DD4A43"/>
    <w:rsid w:val="00DD4A8F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001883-2DF3-44FA-81A4-91110499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F4EA4-6B56-4A9C-91FD-E5BE23021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5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108</cp:revision>
  <cp:lastPrinted>2015-10-28T05:21:00Z</cp:lastPrinted>
  <dcterms:created xsi:type="dcterms:W3CDTF">2012-12-13T10:54:00Z</dcterms:created>
  <dcterms:modified xsi:type="dcterms:W3CDTF">2016-04-01T07:12:00Z</dcterms:modified>
</cp:coreProperties>
</file>