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</w:t>
      </w:r>
      <w:r w:rsidR="00BC33B0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272ED3">
        <w:rPr>
          <w:rFonts w:ascii="Times New Roman" w:hAnsi="Times New Roman"/>
          <w:u w:val="single"/>
          <w:lang w:eastAsia="ru-RU"/>
        </w:rPr>
        <w:t>1</w:t>
      </w:r>
      <w:r w:rsidR="00266A19">
        <w:rPr>
          <w:rFonts w:ascii="Times New Roman" w:hAnsi="Times New Roman"/>
          <w:u w:val="single"/>
          <w:lang w:eastAsia="ru-RU"/>
        </w:rPr>
        <w:t>7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E55D09" w:rsidRPr="00C97EE3">
        <w:rPr>
          <w:rFonts w:ascii="Times New Roman" w:hAnsi="Times New Roman"/>
          <w:u w:val="single"/>
          <w:lang w:eastAsia="ru-RU"/>
        </w:rPr>
        <w:t xml:space="preserve"> </w:t>
      </w:r>
      <w:r w:rsidR="00BC33B0">
        <w:rPr>
          <w:rFonts w:ascii="Times New Roman" w:hAnsi="Times New Roman"/>
          <w:u w:val="single"/>
          <w:lang w:eastAsia="ru-RU"/>
        </w:rPr>
        <w:t>февраля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BC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 (АО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электросеть»), место нахождения: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</w:t>
            </w:r>
            <w:proofErr w:type="gram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а;  почтовый</w:t>
            </w:r>
            <w:proofErr w:type="gram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адрес: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д.4а, e-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mail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97EE3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3B0" w:rsidRDefault="00BC33B0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1</w:t>
            </w:r>
          </w:p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BC33B0" w:rsidRDefault="008179E4" w:rsidP="00817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П</w:t>
            </w:r>
            <w:r w:rsidR="00BC33B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оставк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а</w:t>
            </w:r>
            <w:r w:rsidR="00BC33B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 xml:space="preserve"> </w:t>
            </w:r>
            <w:r w:rsidR="003208F8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блока питания БП/ТЭК-220-5-2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BE30A4" w:rsidP="00266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Московская область </w:t>
            </w:r>
            <w:r w:rsidR="00AE4B1A"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г. </w:t>
            </w: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Корол</w:t>
            </w:r>
            <w:r w:rsidR="00266A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ё</w:t>
            </w: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E466D4" w:rsidRDefault="003208F8" w:rsidP="00320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353 849,97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Триста пятьдесят три тысячи восемьсот сорок </w:t>
            </w:r>
            <w:r w:rsidR="008179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девять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97 </w:t>
            </w:r>
            <w:r w:rsidR="008179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копеек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4509A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8179E4" w:rsidRPr="000F286C" w:rsidTr="003C3F66">
        <w:trPr>
          <w:trHeight w:val="33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E4" w:rsidRDefault="008179E4" w:rsidP="00D41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2</w:t>
            </w:r>
          </w:p>
          <w:p w:rsidR="008179E4" w:rsidRPr="00E466D4" w:rsidRDefault="008179E4" w:rsidP="00D41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E4" w:rsidRPr="00BC33B0" w:rsidRDefault="00266A19" w:rsidP="00266A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Поставка блока КТПБ</w:t>
            </w:r>
          </w:p>
        </w:tc>
      </w:tr>
      <w:tr w:rsidR="008179E4" w:rsidRPr="000F286C" w:rsidTr="003C3F66">
        <w:trPr>
          <w:trHeight w:val="33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E4" w:rsidRPr="00E466D4" w:rsidRDefault="008179E4" w:rsidP="00D41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E4" w:rsidRPr="00E466D4" w:rsidRDefault="008179E4" w:rsidP="00266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Московская область г. Корол</w:t>
            </w:r>
            <w:r w:rsidR="00266A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ё</w:t>
            </w: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</w:p>
        </w:tc>
      </w:tr>
      <w:tr w:rsidR="008179E4" w:rsidRPr="000F286C" w:rsidTr="003C3F66">
        <w:trPr>
          <w:trHeight w:val="33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E4" w:rsidRPr="00E466D4" w:rsidRDefault="008179E4" w:rsidP="00D41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8179E4" w:rsidRPr="00E466D4" w:rsidRDefault="008179E4" w:rsidP="00D41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E4" w:rsidRPr="00E466D4" w:rsidRDefault="008179E4" w:rsidP="00817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760 000,00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(Семьсот шестьдесят тысяч рублей, 00 копеек)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8179E4" w:rsidRPr="000F286C" w:rsidTr="003C3F66">
        <w:trPr>
          <w:trHeight w:val="33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E4" w:rsidRPr="00E466D4" w:rsidRDefault="008179E4" w:rsidP="00BC1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E4" w:rsidRPr="003208F8" w:rsidRDefault="008179E4" w:rsidP="00F65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208F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На официальном сайте  </w:t>
            </w:r>
            <w:hyperlink r:id="rId9" w:history="1">
              <w:r w:rsidRPr="003208F8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www.zakupki.gov.ru</w:t>
              </w:r>
            </w:hyperlink>
            <w:r w:rsidRPr="003208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208F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8179E4" w:rsidRPr="000F286C" w:rsidTr="003C3F66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179E4" w:rsidRPr="00E466D4" w:rsidRDefault="008179E4" w:rsidP="00BC1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79E4" w:rsidRPr="00E466D4" w:rsidRDefault="008179E4" w:rsidP="00BC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8179E4" w:rsidRPr="000F286C" w:rsidTr="003C3F66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79E4" w:rsidRPr="00E466D4" w:rsidRDefault="008179E4" w:rsidP="00BC1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79E4" w:rsidRPr="00E466D4" w:rsidRDefault="008179E4" w:rsidP="00BC1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 w:rsidR="008F0CA8"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272ED3">
        <w:rPr>
          <w:b w:val="0"/>
          <w:sz w:val="24"/>
          <w:szCs w:val="24"/>
        </w:rPr>
        <w:t>1</w:t>
      </w:r>
      <w:r w:rsidR="0078527E">
        <w:rPr>
          <w:b w:val="0"/>
          <w:sz w:val="24"/>
          <w:szCs w:val="24"/>
        </w:rPr>
        <w:t>7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8F0CA8">
        <w:rPr>
          <w:b w:val="0"/>
          <w:sz w:val="24"/>
          <w:szCs w:val="24"/>
        </w:rPr>
        <w:t>февраля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8F0CA8" w:rsidRPr="008F0CA8" w:rsidRDefault="008F0CA8" w:rsidP="008F0CA8">
      <w:pPr>
        <w:rPr>
          <w:lang w:eastAsia="ru-RU"/>
        </w:rPr>
      </w:pPr>
    </w:p>
    <w:p w:rsidR="00205DB9" w:rsidRPr="00205DB9" w:rsidRDefault="008F0CA8" w:rsidP="008F0CA8">
      <w:pPr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ЛО</w:t>
      </w:r>
      <w:r w:rsidR="003D13A2"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Т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 xml:space="preserve"> № 1 - </w:t>
      </w:r>
      <w:r w:rsidR="008179E4"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Поставка блока питания БП/ТЭК-220-5-2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;</w:t>
      </w:r>
    </w:p>
    <w:p w:rsidR="008F0CA8" w:rsidRPr="00205DB9" w:rsidRDefault="008F0CA8" w:rsidP="008F0CA8">
      <w:pPr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ЛО</w:t>
      </w:r>
      <w:r w:rsidR="003D13A2"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Т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 xml:space="preserve"> № 2 - </w:t>
      </w:r>
      <w:r w:rsidR="0078527E"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Поставка блока КТПБ.</w:t>
      </w:r>
    </w:p>
    <w:p w:rsidR="00D45DBB" w:rsidRPr="00205DB9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№0</w:t>
      </w:r>
      <w:r w:rsidR="008F0CA8">
        <w:rPr>
          <w:rFonts w:ascii="Times New Roman" w:hAnsi="Times New Roman"/>
          <w:sz w:val="24"/>
          <w:szCs w:val="24"/>
          <w:lang w:eastAsia="ru-RU"/>
        </w:rPr>
        <w:t>0</w:t>
      </w:r>
      <w:r w:rsidR="008179E4">
        <w:rPr>
          <w:rFonts w:ascii="Times New Roman" w:hAnsi="Times New Roman"/>
          <w:sz w:val="24"/>
          <w:szCs w:val="24"/>
          <w:lang w:eastAsia="ru-RU"/>
        </w:rPr>
        <w:t>6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8F0CA8">
        <w:rPr>
          <w:rFonts w:ascii="Times New Roman" w:hAnsi="Times New Roman"/>
          <w:sz w:val="24"/>
          <w:szCs w:val="24"/>
          <w:lang w:eastAsia="ru-RU"/>
        </w:rPr>
        <w:t>Х</w:t>
      </w:r>
      <w:r w:rsidR="0094509A">
        <w:rPr>
          <w:rFonts w:ascii="Times New Roman" w:hAnsi="Times New Roman"/>
          <w:sz w:val="24"/>
          <w:szCs w:val="24"/>
          <w:lang w:eastAsia="ru-RU"/>
        </w:rPr>
        <w:t>Р</w:t>
      </w:r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D13A2" w:rsidRPr="00205DB9" w:rsidRDefault="003D13A2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654F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179E4" w:rsidRDefault="008179E4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179E4" w:rsidRDefault="008179E4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179E4" w:rsidRDefault="008179E4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179E4" w:rsidRPr="00205DB9" w:rsidRDefault="008179E4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4509A" w:rsidRPr="00205DB9" w:rsidRDefault="0094509A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Pr="00205DB9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lastRenderedPageBreak/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3D13A2" w:rsidRDefault="003B33FA" w:rsidP="003D13A2">
      <w:pPr>
        <w:pStyle w:val="3"/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 xml:space="preserve">заключение договора </w:t>
      </w:r>
      <w:r w:rsidR="00CD5BCF">
        <w:rPr>
          <w:bCs/>
          <w:sz w:val="24"/>
          <w:szCs w:val="24"/>
        </w:rPr>
        <w:t>на</w:t>
      </w:r>
      <w:r w:rsidR="003D13A2">
        <w:rPr>
          <w:bCs/>
          <w:sz w:val="24"/>
          <w:szCs w:val="24"/>
        </w:rPr>
        <w:t>:</w:t>
      </w:r>
    </w:p>
    <w:p w:rsidR="008179E4" w:rsidRPr="008179E4" w:rsidRDefault="008179E4" w:rsidP="008179E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8179E4">
        <w:rPr>
          <w:bCs/>
          <w:sz w:val="24"/>
          <w:szCs w:val="24"/>
        </w:rPr>
        <w:t>ЛОТ № 1 - Поставка блока питания БП/ТЭК-220-5-2;</w:t>
      </w:r>
    </w:p>
    <w:p w:rsidR="008179E4" w:rsidRDefault="008179E4" w:rsidP="008179E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8179E4">
        <w:rPr>
          <w:bCs/>
          <w:sz w:val="24"/>
          <w:szCs w:val="24"/>
        </w:rPr>
        <w:t>ЛОТ</w:t>
      </w:r>
      <w:r>
        <w:rPr>
          <w:bCs/>
          <w:sz w:val="24"/>
          <w:szCs w:val="24"/>
        </w:rPr>
        <w:t xml:space="preserve"> </w:t>
      </w:r>
      <w:r w:rsidR="0078527E">
        <w:rPr>
          <w:bCs/>
          <w:sz w:val="24"/>
          <w:szCs w:val="24"/>
        </w:rPr>
        <w:t>№ 2 - Поставка блока КТПБ,</w:t>
      </w:r>
    </w:p>
    <w:p w:rsidR="003B33FA" w:rsidRPr="0094509A" w:rsidRDefault="003B33FA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«Корол</w:t>
      </w:r>
      <w:r w:rsidR="00511094">
        <w:rPr>
          <w:sz w:val="24"/>
          <w:szCs w:val="24"/>
        </w:rPr>
        <w:t>ё</w:t>
      </w:r>
      <w:r w:rsidRPr="00205DB9">
        <w:rPr>
          <w:sz w:val="24"/>
          <w:szCs w:val="24"/>
        </w:rPr>
        <w:t>вская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3B33FA">
      <w:pPr>
        <w:pStyle w:val="ac"/>
        <w:rPr>
          <w:bCs/>
          <w:sz w:val="24"/>
          <w:szCs w:val="24"/>
        </w:rPr>
      </w:pPr>
    </w:p>
    <w:p w:rsidR="00511094" w:rsidRDefault="0094509A" w:rsidP="00511094">
      <w:pPr>
        <w:pStyle w:val="3"/>
        <w:numPr>
          <w:ilvl w:val="0"/>
          <w:numId w:val="0"/>
        </w:numPr>
        <w:spacing w:line="240" w:lineRule="auto"/>
        <w:ind w:left="79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Документация</w:t>
      </w:r>
      <w:r w:rsidR="00A33A1E" w:rsidRPr="00205DB9">
        <w:rPr>
          <w:b/>
          <w:bCs/>
          <w:sz w:val="24"/>
          <w:szCs w:val="24"/>
        </w:rPr>
        <w:t xml:space="preserve"> </w:t>
      </w:r>
      <w:r w:rsidR="00511094">
        <w:rPr>
          <w:b/>
          <w:bCs/>
          <w:sz w:val="24"/>
          <w:szCs w:val="24"/>
        </w:rPr>
        <w:t>на поставку:</w:t>
      </w:r>
    </w:p>
    <w:p w:rsidR="00511094" w:rsidRPr="003D13A2" w:rsidRDefault="00511094" w:rsidP="0051109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1 - </w:t>
      </w:r>
      <w:r w:rsidR="008179E4" w:rsidRPr="008179E4">
        <w:rPr>
          <w:bCs/>
          <w:sz w:val="24"/>
          <w:szCs w:val="24"/>
        </w:rPr>
        <w:t>Поставка блока питания БП/ТЭК-220-5-2;</w:t>
      </w:r>
    </w:p>
    <w:p w:rsidR="00511094" w:rsidRPr="003D13A2" w:rsidRDefault="00511094" w:rsidP="008179E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2 - </w:t>
      </w:r>
      <w:r w:rsidR="008179E4" w:rsidRPr="008179E4">
        <w:rPr>
          <w:bCs/>
          <w:sz w:val="24"/>
          <w:szCs w:val="24"/>
        </w:rPr>
        <w:t>Поставка блока КТПБ</w:t>
      </w:r>
      <w:r w:rsidR="0078527E">
        <w:rPr>
          <w:bCs/>
          <w:sz w:val="24"/>
          <w:szCs w:val="24"/>
        </w:rPr>
        <w:t>.</w:t>
      </w:r>
    </w:p>
    <w:p w:rsidR="003B13EB" w:rsidRPr="00205DB9" w:rsidRDefault="003B13EB" w:rsidP="003B13EB">
      <w:pPr>
        <w:pStyle w:val="ac"/>
        <w:rPr>
          <w:bCs/>
          <w:sz w:val="24"/>
          <w:szCs w:val="24"/>
        </w:rPr>
      </w:pPr>
    </w:p>
    <w:p w:rsidR="003B33FA" w:rsidRPr="00205DB9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0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</w:t>
      </w:r>
      <w:r w:rsidR="00511094">
        <w:rPr>
          <w:bCs/>
          <w:sz w:val="24"/>
          <w:szCs w:val="24"/>
        </w:rPr>
        <w:t>ё</w:t>
      </w:r>
      <w:r w:rsidRPr="00205DB9">
        <w:rPr>
          <w:bCs/>
          <w:sz w:val="24"/>
          <w:szCs w:val="24"/>
        </w:rPr>
        <w:t>вская электросеть»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511094" w:rsidRDefault="003F5E34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94509A">
        <w:rPr>
          <w:sz w:val="24"/>
          <w:szCs w:val="24"/>
        </w:rPr>
        <w:t xml:space="preserve">Предметом закупки является право </w:t>
      </w:r>
      <w:r w:rsidR="00BE5D0A" w:rsidRPr="0094509A">
        <w:rPr>
          <w:bCs/>
          <w:sz w:val="24"/>
          <w:szCs w:val="24"/>
        </w:rPr>
        <w:t xml:space="preserve">заключение договора </w:t>
      </w:r>
      <w:r w:rsidR="00CD5BCF">
        <w:rPr>
          <w:sz w:val="24"/>
          <w:szCs w:val="24"/>
        </w:rPr>
        <w:t>на</w:t>
      </w:r>
      <w:r w:rsidR="00511094">
        <w:rPr>
          <w:sz w:val="24"/>
          <w:szCs w:val="24"/>
        </w:rPr>
        <w:t xml:space="preserve"> поставку:</w:t>
      </w:r>
    </w:p>
    <w:p w:rsidR="00511094" w:rsidRPr="003D13A2" w:rsidRDefault="00511094" w:rsidP="0051109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1 - </w:t>
      </w:r>
      <w:r w:rsidR="008179E4" w:rsidRPr="008179E4">
        <w:rPr>
          <w:bCs/>
          <w:sz w:val="24"/>
          <w:szCs w:val="24"/>
        </w:rPr>
        <w:t>Поставка блока питания БП/ТЭК-220-5-2;</w:t>
      </w:r>
    </w:p>
    <w:p w:rsidR="00511094" w:rsidRPr="003D13A2" w:rsidRDefault="00511094" w:rsidP="008179E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2 - </w:t>
      </w:r>
      <w:r w:rsidR="0078527E">
        <w:rPr>
          <w:bCs/>
          <w:sz w:val="24"/>
          <w:szCs w:val="24"/>
        </w:rPr>
        <w:t>Поставка блока КТПБ</w:t>
      </w:r>
      <w:bookmarkStart w:id="0" w:name="_GoBack"/>
      <w:bookmarkEnd w:id="0"/>
    </w:p>
    <w:p w:rsidR="007F207F" w:rsidRDefault="007F207F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lastRenderedPageBreak/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A8659B" w:rsidRPr="00205DB9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Pr="0094509A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 xml:space="preserve">ена договора </w:t>
      </w:r>
      <w:r w:rsidR="009E4991" w:rsidRPr="0094509A">
        <w:rPr>
          <w:sz w:val="24"/>
          <w:szCs w:val="24"/>
        </w:rPr>
        <w:t xml:space="preserve"> –</w:t>
      </w:r>
    </w:p>
    <w:p w:rsidR="00CD36C9" w:rsidRDefault="00276F10" w:rsidP="00276F10">
      <w:pPr>
        <w:ind w:left="709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 xml:space="preserve">ЛОТ № 1 - </w:t>
      </w:r>
      <w:r w:rsidR="008179E4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353 849,97</w:t>
      </w:r>
      <w:r w:rsidR="008179E4"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 w:rsidR="008179E4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Триста пятьдесят три тысячи восемьсот сорок девять рублей 97 копеек)</w:t>
      </w:r>
      <w:r w:rsidR="008179E4"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 w:rsidR="008179E4" w:rsidRPr="005C349D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сборов, связанных с заключением и выполнением договора);</w:t>
      </w:r>
      <w:r w:rsidR="00CD36C9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</w:p>
    <w:p w:rsidR="00276F10" w:rsidRPr="00205DB9" w:rsidRDefault="00276F10" w:rsidP="00276F10">
      <w:pPr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 xml:space="preserve">ЛОТ № 2 - </w:t>
      </w:r>
      <w:r w:rsidR="00CD36C9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760 000,00</w:t>
      </w:r>
      <w:r w:rsidR="00CD36C9"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 w:rsidR="00CD36C9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(Семьсот шестьдесят тысяч рублей, 00 копеек)</w:t>
      </w:r>
      <w:r w:rsidR="00CD36C9"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 w:rsidR="00CD36C9" w:rsidRPr="005C349D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сборов, связанных с заключением и выполнением договора);</w:t>
      </w:r>
      <w:r w:rsidR="00CD36C9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</w:p>
    <w:p w:rsidR="0094509A" w:rsidRPr="00205DB9" w:rsidRDefault="0094509A" w:rsidP="00205DB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lastRenderedPageBreak/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  <w:r w:rsidR="00756479">
        <w:rPr>
          <w:rFonts w:ascii="Times New Roman" w:hAnsi="Times New Roman" w:cs="Times New Roman"/>
          <w:sz w:val="24"/>
          <w:szCs w:val="24"/>
        </w:rPr>
        <w:t>а</w:t>
      </w:r>
    </w:p>
    <w:sectPr w:rsidR="00363FEE" w:rsidRPr="00205DB9" w:rsidSect="001C6580">
      <w:footerReference w:type="default" r:id="rId12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78527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66A19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08F8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438E"/>
    <w:rsid w:val="006563CF"/>
    <w:rsid w:val="00670B4D"/>
    <w:rsid w:val="00671C15"/>
    <w:rsid w:val="00675F22"/>
    <w:rsid w:val="0068531C"/>
    <w:rsid w:val="006906E1"/>
    <w:rsid w:val="00692639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8527E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179E4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5B48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36C9"/>
    <w:rsid w:val="00CD4CCD"/>
    <w:rsid w:val="00CD4E17"/>
    <w:rsid w:val="00CD5BCF"/>
    <w:rsid w:val="00CE1DAC"/>
    <w:rsid w:val="00CE352D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85CDA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462A9"/>
    <w:rsid w:val="00F50BF0"/>
    <w:rsid w:val="00F53B0D"/>
    <w:rsid w:val="00F56E5A"/>
    <w:rsid w:val="00F60D5B"/>
    <w:rsid w:val="00F64C2D"/>
    <w:rsid w:val="00F65C6A"/>
    <w:rsid w:val="00F66568"/>
    <w:rsid w:val="00F74F71"/>
    <w:rsid w:val="00F84C15"/>
    <w:rsid w:val="00F8536E"/>
    <w:rsid w:val="00F86437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BFCDA-BF14-4224-9D75-6BFC6FED9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3F05E4-0565-4FB0-A689-63A5F2018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5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109</cp:revision>
  <cp:lastPrinted>2016-02-16T11:21:00Z</cp:lastPrinted>
  <dcterms:created xsi:type="dcterms:W3CDTF">2012-12-13T10:54:00Z</dcterms:created>
  <dcterms:modified xsi:type="dcterms:W3CDTF">2016-02-16T11:24:00Z</dcterms:modified>
</cp:coreProperties>
</file>