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2F19AD" w:rsidRDefault="002F19AD" w:rsidP="002F1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80080">
        <w:rPr>
          <w:rFonts w:ascii="Times New Roman" w:eastAsia="Times New Roman" w:hAnsi="Times New Roman" w:cs="Times New Roman"/>
          <w:b/>
          <w:snapToGrid w:val="0"/>
        </w:rPr>
        <w:t>Выполнение строительно-монтажных работ по капитальному ремонту металлического ограждения площадки из сетчатых панелей по адресу: г. Королев, мкрн. Первомайский, ул. Первомайская, дом. 10 (КР)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F95BD7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</w:t>
      </w:r>
      <w:bookmarkStart w:id="0" w:name="_GoBack"/>
      <w:bookmarkEnd w:id="0"/>
      <w:r w:rsidRPr="00991BDC">
        <w:rPr>
          <w:b w:val="0"/>
          <w:bCs w:val="0"/>
          <w:sz w:val="24"/>
          <w:szCs w:val="24"/>
        </w:rPr>
        <w:t>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2F19AD">
      <w:footerReference w:type="default" r:id="rId8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9AD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4891D-6FF6-45B3-8D1E-E1981030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36580-90B3-4B94-AA10-F06AA22D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71</cp:revision>
  <cp:lastPrinted>2014-12-17T20:45:00Z</cp:lastPrinted>
  <dcterms:created xsi:type="dcterms:W3CDTF">2012-05-30T06:45:00Z</dcterms:created>
  <dcterms:modified xsi:type="dcterms:W3CDTF">2015-09-02T16:13:00Z</dcterms:modified>
</cp:coreProperties>
</file>