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B24F71"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9945807"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0E5BBF" w:rsidRDefault="00D45DBB" w:rsidP="00D45DBB">
      <w:pPr>
        <w:pStyle w:val="a3"/>
        <w:tabs>
          <w:tab w:val="left" w:pos="6237"/>
        </w:tabs>
        <w:ind w:right="72" w:hanging="108"/>
        <w:jc w:val="right"/>
        <w:rPr>
          <w:b w:val="0"/>
          <w:sz w:val="24"/>
          <w:szCs w:val="24"/>
          <w:u w:val="single"/>
        </w:rPr>
      </w:pPr>
      <w:r w:rsidRPr="000E5BBF">
        <w:rPr>
          <w:b w:val="0"/>
          <w:sz w:val="24"/>
          <w:szCs w:val="24"/>
          <w:u w:val="single"/>
        </w:rPr>
        <w:t>   «</w:t>
      </w:r>
      <w:r w:rsidR="00C321FF">
        <w:rPr>
          <w:b w:val="0"/>
          <w:sz w:val="24"/>
          <w:szCs w:val="24"/>
          <w:u w:val="single"/>
        </w:rPr>
        <w:t>__</w:t>
      </w:r>
      <w:r w:rsidRPr="000E5BBF">
        <w:rPr>
          <w:b w:val="0"/>
          <w:sz w:val="24"/>
          <w:szCs w:val="24"/>
          <w:u w:val="single"/>
        </w:rPr>
        <w:t xml:space="preserve">» </w:t>
      </w:r>
      <w:r w:rsidR="00C321FF">
        <w:rPr>
          <w:b w:val="0"/>
          <w:sz w:val="24"/>
          <w:szCs w:val="24"/>
          <w:u w:val="single"/>
        </w:rPr>
        <w:t>________ 2013</w:t>
      </w:r>
      <w:r w:rsidRPr="000E5BBF">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061DA" w:rsidRDefault="000061DA" w:rsidP="000061DA">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45DBB" w:rsidRPr="00FF187F" w:rsidRDefault="00FF187F" w:rsidP="00D45DBB">
      <w:pPr>
        <w:jc w:val="center"/>
        <w:rPr>
          <w:rFonts w:ascii="Times New Roman" w:hAnsi="Times New Roman"/>
          <w:sz w:val="32"/>
          <w:szCs w:val="32"/>
          <w:lang w:eastAsia="ru-RU"/>
        </w:rPr>
      </w:pPr>
      <w:r w:rsidRPr="00FF187F">
        <w:rPr>
          <w:rStyle w:val="FontStyle12"/>
          <w:bCs/>
          <w:sz w:val="32"/>
          <w:szCs w:val="32"/>
        </w:rPr>
        <w:t xml:space="preserve">на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w:t>
      </w:r>
      <w:r w:rsidR="00586D88">
        <w:rPr>
          <w:rStyle w:val="FontStyle12"/>
          <w:bCs/>
          <w:sz w:val="32"/>
          <w:szCs w:val="32"/>
        </w:rPr>
        <w:t>тревожной</w:t>
      </w:r>
      <w:r w:rsidRPr="00FF187F">
        <w:rPr>
          <w:rStyle w:val="FontStyle12"/>
          <w:bCs/>
          <w:sz w:val="32"/>
          <w:szCs w:val="32"/>
        </w:rPr>
        <w:t xml:space="preserve"> сигнализаци</w:t>
      </w:r>
      <w:r w:rsidR="00586D88">
        <w:rPr>
          <w:rStyle w:val="FontStyle12"/>
          <w:bCs/>
          <w:sz w:val="32"/>
          <w:szCs w:val="32"/>
        </w:rPr>
        <w:t>и</w:t>
      </w:r>
      <w:r w:rsidRPr="00FF187F">
        <w:rPr>
          <w:rStyle w:val="FontStyle15"/>
          <w:sz w:val="32"/>
          <w:szCs w:val="32"/>
        </w:rPr>
        <w:t xml:space="preserve"> </w:t>
      </w:r>
    </w:p>
    <w:p w:rsidR="00FF187F" w:rsidRPr="00C321FF" w:rsidRDefault="00FF187F" w:rsidP="00D45DBB">
      <w:pPr>
        <w:jc w:val="center"/>
        <w:rPr>
          <w:rFonts w:ascii="Times New Roman" w:hAnsi="Times New Roman"/>
          <w:sz w:val="32"/>
          <w:szCs w:val="32"/>
          <w:lang w:eastAsia="ru-RU"/>
        </w:rPr>
      </w:pPr>
    </w:p>
    <w:p w:rsidR="00D45DBB" w:rsidRDefault="00293639" w:rsidP="00D45DBB">
      <w:pPr>
        <w:jc w:val="center"/>
        <w:rPr>
          <w:rFonts w:ascii="Times New Roman" w:hAnsi="Times New Roman"/>
          <w:sz w:val="24"/>
          <w:szCs w:val="24"/>
          <w:lang w:eastAsia="ru-RU"/>
        </w:rPr>
      </w:pPr>
      <w:r w:rsidRPr="00613654">
        <w:rPr>
          <w:rFonts w:ascii="Times New Roman" w:hAnsi="Times New Roman"/>
          <w:sz w:val="24"/>
          <w:szCs w:val="24"/>
          <w:highlight w:val="yellow"/>
          <w:lang w:eastAsia="ru-RU"/>
        </w:rPr>
        <w:t>ОЗП</w:t>
      </w:r>
      <w:r w:rsidR="00C321FF">
        <w:rPr>
          <w:rFonts w:ascii="Times New Roman" w:hAnsi="Times New Roman"/>
          <w:sz w:val="24"/>
          <w:szCs w:val="24"/>
          <w:highlight w:val="yellow"/>
          <w:lang w:eastAsia="ru-RU"/>
        </w:rPr>
        <w:t xml:space="preserve"> №001</w:t>
      </w:r>
      <w:r w:rsidRPr="00613654">
        <w:rPr>
          <w:rFonts w:ascii="Times New Roman" w:hAnsi="Times New Roman"/>
          <w:sz w:val="24"/>
          <w:szCs w:val="24"/>
          <w:highlight w:val="yellow"/>
          <w:lang w:eastAsia="ru-RU"/>
        </w:rPr>
        <w:t>/</w:t>
      </w:r>
      <w:r w:rsidR="00C321FF">
        <w:rPr>
          <w:rFonts w:ascii="Times New Roman" w:hAnsi="Times New Roman"/>
          <w:sz w:val="24"/>
          <w:szCs w:val="24"/>
          <w:highlight w:val="yellow"/>
          <w:lang w:eastAsia="ru-RU"/>
        </w:rPr>
        <w:t>2013</w:t>
      </w:r>
      <w:r w:rsidR="001F01F8" w:rsidRPr="00613654">
        <w:rPr>
          <w:rFonts w:ascii="Times New Roman" w:hAnsi="Times New Roman"/>
          <w:sz w:val="24"/>
          <w:szCs w:val="24"/>
          <w:highlight w:val="yellow"/>
          <w:lang w:eastAsia="ru-RU"/>
        </w:rPr>
        <w:t>/</w:t>
      </w:r>
      <w:r w:rsidRPr="00613654">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C321FF" w:rsidRDefault="00C321FF"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C321FF">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Pr="00613654" w:rsidRDefault="003B33FA" w:rsidP="00FF187F">
      <w:pPr>
        <w:pStyle w:val="3"/>
        <w:numPr>
          <w:ilvl w:val="1"/>
          <w:numId w:val="3"/>
        </w:numPr>
        <w:spacing w:line="240" w:lineRule="auto"/>
        <w:rPr>
          <w:bCs/>
          <w:sz w:val="26"/>
          <w:szCs w:val="26"/>
        </w:rPr>
      </w:pPr>
      <w:r w:rsidRPr="00613654">
        <w:rPr>
          <w:bCs/>
          <w:sz w:val="26"/>
          <w:szCs w:val="26"/>
        </w:rPr>
        <w:t xml:space="preserve">В настоящей документации и во всех документах, связанных с проведением открытого запроса предложений на право заключения </w:t>
      </w:r>
      <w:r w:rsidR="000061DA" w:rsidRPr="00FF187F">
        <w:rPr>
          <w:bCs/>
          <w:sz w:val="26"/>
          <w:szCs w:val="26"/>
          <w:highlight w:val="yellow"/>
        </w:rPr>
        <w:t xml:space="preserve">договора </w:t>
      </w:r>
      <w:r w:rsidR="00FF187F" w:rsidRPr="00FF187F">
        <w:rPr>
          <w:sz w:val="26"/>
          <w:szCs w:val="26"/>
          <w:highlight w:val="yellow"/>
        </w:rPr>
        <w:t xml:space="preserve">на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w:t>
      </w:r>
      <w:r w:rsidR="00586D88" w:rsidRPr="00FF187F">
        <w:rPr>
          <w:sz w:val="26"/>
          <w:szCs w:val="26"/>
          <w:highlight w:val="yellow"/>
        </w:rPr>
        <w:t xml:space="preserve">тревожной сигнализации </w:t>
      </w:r>
      <w:r w:rsidRPr="00613654">
        <w:rPr>
          <w:bCs/>
          <w:sz w:val="26"/>
          <w:szCs w:val="26"/>
        </w:rPr>
        <w:t>(далее именуемого - «запрос предложений»), используются нижеследующие термины в нижеуказанных их значениях.</w:t>
      </w:r>
    </w:p>
    <w:p w:rsidR="003B13EB" w:rsidRDefault="003B13EB" w:rsidP="00613654">
      <w:pPr>
        <w:pStyle w:val="3"/>
        <w:numPr>
          <w:ilvl w:val="0"/>
          <w:numId w:val="0"/>
        </w:numPr>
        <w:spacing w:line="240" w:lineRule="auto"/>
        <w:ind w:left="1224"/>
        <w:rPr>
          <w:b/>
          <w:bCs/>
          <w:sz w:val="26"/>
          <w:szCs w:val="26"/>
        </w:rPr>
      </w:pPr>
    </w:p>
    <w:p w:rsidR="003B33FA" w:rsidRDefault="003B33FA" w:rsidP="00FF187F">
      <w:pPr>
        <w:pStyle w:val="3"/>
        <w:numPr>
          <w:ilvl w:val="1"/>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625C33" w:rsidRDefault="003B33FA" w:rsidP="003B33FA">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00625C33" w:rsidRPr="001A61C5">
          <w:rPr>
            <w:rStyle w:val="a5"/>
            <w:bCs/>
            <w:sz w:val="26"/>
            <w:szCs w:val="26"/>
          </w:rPr>
          <w:t>Basmanova.KO@kenet.ru</w:t>
        </w:r>
      </w:hyperlink>
    </w:p>
    <w:p w:rsidR="003B33FA" w:rsidRPr="003B33FA" w:rsidRDefault="003B33FA" w:rsidP="003B33FA">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sidR="001F01F8">
        <w:rPr>
          <w:bCs/>
          <w:sz w:val="26"/>
          <w:szCs w:val="26"/>
        </w:rPr>
        <w:t>Басманова К.О.</w:t>
      </w:r>
    </w:p>
    <w:p w:rsidR="003B33FA" w:rsidRDefault="003B33FA" w:rsidP="003B33FA">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sidR="001F01F8">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FF187F">
      <w:pPr>
        <w:pStyle w:val="3"/>
        <w:numPr>
          <w:ilvl w:val="1"/>
          <w:numId w:val="3"/>
        </w:numPr>
        <w:spacing w:line="240" w:lineRule="auto"/>
        <w:rPr>
          <w:bCs/>
          <w:sz w:val="26"/>
          <w:szCs w:val="26"/>
        </w:rPr>
      </w:pPr>
      <w:proofErr w:type="gramStart"/>
      <w:r w:rsidRPr="003B13EB">
        <w:rPr>
          <w:b/>
          <w:bCs/>
          <w:sz w:val="26"/>
          <w:szCs w:val="26"/>
        </w:rPr>
        <w:t>Заявка на участие в открытом запросе предложений</w:t>
      </w:r>
      <w:r w:rsidRPr="003B33FA">
        <w:rPr>
          <w:bCs/>
          <w:sz w:val="26"/>
          <w:szCs w:val="26"/>
        </w:rPr>
        <w:t xml:space="preserve"> (далее - Заявка) - комплект доку</w:t>
      </w:r>
      <w:r w:rsidR="00613654">
        <w:rPr>
          <w:bCs/>
          <w:sz w:val="26"/>
          <w:szCs w:val="26"/>
        </w:rPr>
        <w:t>ментов, содержащий предложение 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окументацией открытого запроса предложений.</w:t>
      </w:r>
      <w:proofErr w:type="gramEnd"/>
    </w:p>
    <w:p w:rsidR="003B33FA" w:rsidRDefault="003B33FA" w:rsidP="003B33FA">
      <w:pPr>
        <w:pStyle w:val="ac"/>
        <w:rPr>
          <w:bCs/>
          <w:sz w:val="26"/>
          <w:szCs w:val="26"/>
        </w:rPr>
      </w:pPr>
    </w:p>
    <w:p w:rsidR="003B33FA" w:rsidRDefault="003B33FA" w:rsidP="00FF187F">
      <w:pPr>
        <w:pStyle w:val="3"/>
        <w:numPr>
          <w:ilvl w:val="1"/>
          <w:numId w:val="3"/>
        </w:numPr>
        <w:spacing w:line="240" w:lineRule="auto"/>
        <w:rPr>
          <w:bCs/>
          <w:sz w:val="26"/>
          <w:szCs w:val="26"/>
        </w:rPr>
      </w:pPr>
      <w:r w:rsidRPr="003B13EB">
        <w:rPr>
          <w:b/>
          <w:bCs/>
          <w:sz w:val="26"/>
          <w:szCs w:val="26"/>
        </w:rPr>
        <w:t>Документация открытого запроса предложений</w:t>
      </w:r>
      <w:r w:rsidRPr="003B33FA">
        <w:rPr>
          <w:bCs/>
          <w:sz w:val="26"/>
          <w:szCs w:val="26"/>
        </w:rPr>
        <w:t xml:space="preserve"> (далее - Документация) -</w:t>
      </w:r>
      <w:r w:rsidR="003B13EB">
        <w:rPr>
          <w:bCs/>
          <w:sz w:val="26"/>
          <w:szCs w:val="26"/>
        </w:rPr>
        <w:t xml:space="preserve"> </w:t>
      </w:r>
      <w:r w:rsidRPr="003B33FA">
        <w:rPr>
          <w:bCs/>
          <w:sz w:val="26"/>
          <w:szCs w:val="26"/>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в открытом запросе предложений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предложений д</w:t>
      </w:r>
      <w:r w:rsidRPr="003B33FA">
        <w:rPr>
          <w:bCs/>
          <w:sz w:val="26"/>
          <w:szCs w:val="26"/>
        </w:rPr>
        <w:t>оговора.</w:t>
      </w:r>
    </w:p>
    <w:p w:rsidR="003B13EB" w:rsidRDefault="003B13EB" w:rsidP="003B13EB">
      <w:pPr>
        <w:pStyle w:val="ac"/>
        <w:rPr>
          <w:bCs/>
          <w:sz w:val="26"/>
          <w:szCs w:val="26"/>
        </w:rPr>
      </w:pPr>
    </w:p>
    <w:p w:rsidR="003B33FA" w:rsidRDefault="003B13EB" w:rsidP="00FF187F">
      <w:pPr>
        <w:pStyle w:val="3"/>
        <w:numPr>
          <w:ilvl w:val="1"/>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13EB" w:rsidRDefault="003B13EB" w:rsidP="003B13EB">
      <w:pPr>
        <w:pStyle w:val="ac"/>
        <w:rPr>
          <w:bCs/>
          <w:sz w:val="26"/>
          <w:szCs w:val="26"/>
        </w:rPr>
      </w:pPr>
    </w:p>
    <w:p w:rsidR="000061DA" w:rsidRPr="00081AF9" w:rsidRDefault="000061DA" w:rsidP="00FF187F">
      <w:pPr>
        <w:pStyle w:val="3"/>
        <w:numPr>
          <w:ilvl w:val="1"/>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0061DA" w:rsidRDefault="000061DA" w:rsidP="000061DA">
      <w:pPr>
        <w:pStyle w:val="ac"/>
        <w:rPr>
          <w:bCs/>
          <w:sz w:val="26"/>
          <w:szCs w:val="26"/>
        </w:rPr>
      </w:pPr>
    </w:p>
    <w:p w:rsidR="000061DA" w:rsidRDefault="000061DA" w:rsidP="00FF187F">
      <w:pPr>
        <w:pStyle w:val="3"/>
        <w:numPr>
          <w:ilvl w:val="1"/>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3B13EB" w:rsidRDefault="003B13EB" w:rsidP="003B13EB">
      <w:pPr>
        <w:pStyle w:val="3"/>
        <w:numPr>
          <w:ilvl w:val="0"/>
          <w:numId w:val="0"/>
        </w:numPr>
        <w:spacing w:line="240" w:lineRule="auto"/>
        <w:ind w:left="1224"/>
        <w:rPr>
          <w:bCs/>
          <w:sz w:val="26"/>
          <w:szCs w:val="26"/>
        </w:rPr>
      </w:pPr>
    </w:p>
    <w:p w:rsidR="003D6EA0" w:rsidRDefault="003D6EA0"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E079FF" w:rsidRDefault="00AA1E67" w:rsidP="00C902BF">
      <w:pPr>
        <w:pStyle w:val="3"/>
        <w:numPr>
          <w:ilvl w:val="1"/>
          <w:numId w:val="3"/>
        </w:numPr>
        <w:spacing w:line="240" w:lineRule="auto"/>
        <w:rPr>
          <w:sz w:val="26"/>
          <w:szCs w:val="26"/>
          <w:highlight w:val="yellow"/>
        </w:rPr>
      </w:pPr>
      <w:proofErr w:type="gramStart"/>
      <w:r w:rsidRPr="00BD1EED">
        <w:rPr>
          <w:rStyle w:val="rvts31452"/>
          <w:sz w:val="26"/>
          <w:szCs w:val="26"/>
        </w:rPr>
        <w:lastRenderedPageBreak/>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hyperlink r:id="rId13" w:history="1">
        <w:r w:rsidR="000061DA" w:rsidRPr="00052D86">
          <w:rPr>
            <w:rStyle w:val="a5"/>
            <w:sz w:val="26"/>
            <w:szCs w:val="26"/>
          </w:rPr>
          <w:t>www.kenet.ru</w:t>
        </w:r>
      </w:hyperlink>
      <w:r w:rsidR="000061DA">
        <w:rPr>
          <w:rStyle w:val="rvts31451"/>
          <w:sz w:val="26"/>
          <w:szCs w:val="26"/>
        </w:rPr>
        <w:t xml:space="preserve">) и </w:t>
      </w:r>
      <w:r w:rsidR="000061DA" w:rsidRPr="002F56F2">
        <w:rPr>
          <w:rStyle w:val="rvts31451"/>
          <w:sz w:val="26"/>
          <w:szCs w:val="26"/>
        </w:rPr>
        <w:t xml:space="preserve">на </w:t>
      </w:r>
      <w:r w:rsidR="000061DA">
        <w:rPr>
          <w:rStyle w:val="rvts31451"/>
          <w:sz w:val="26"/>
          <w:szCs w:val="26"/>
        </w:rPr>
        <w:t>официальном сайте</w:t>
      </w:r>
      <w:r w:rsidR="000061DA" w:rsidRPr="002F56F2">
        <w:rPr>
          <w:rStyle w:val="rvts31451"/>
          <w:sz w:val="26"/>
          <w:szCs w:val="26"/>
        </w:rPr>
        <w:t xml:space="preserve"> (</w:t>
      </w:r>
      <w:hyperlink r:id="rId14" w:history="1">
        <w:r w:rsidR="000061DA" w:rsidRPr="000F2E1B">
          <w:rPr>
            <w:rStyle w:val="a5"/>
            <w:sz w:val="26"/>
            <w:szCs w:val="26"/>
          </w:rPr>
          <w:t>www.</w:t>
        </w:r>
        <w:r w:rsidR="000061DA" w:rsidRPr="000F2E1B">
          <w:rPr>
            <w:rStyle w:val="a5"/>
            <w:sz w:val="26"/>
            <w:szCs w:val="26"/>
            <w:lang w:val="en-US"/>
          </w:rPr>
          <w:t>zakupki</w:t>
        </w:r>
        <w:r w:rsidR="000061DA" w:rsidRPr="000F2E1B">
          <w:rPr>
            <w:rStyle w:val="a5"/>
            <w:sz w:val="26"/>
            <w:szCs w:val="26"/>
          </w:rPr>
          <w:t>.</w:t>
        </w:r>
        <w:r w:rsidR="000061DA" w:rsidRPr="000F2E1B">
          <w:rPr>
            <w:rStyle w:val="a5"/>
            <w:sz w:val="26"/>
            <w:szCs w:val="26"/>
            <w:lang w:val="en-US"/>
          </w:rPr>
          <w:t>gov</w:t>
        </w:r>
        <w:r w:rsidR="000061DA" w:rsidRPr="000F2E1B">
          <w:rPr>
            <w:rStyle w:val="a5"/>
            <w:sz w:val="26"/>
            <w:szCs w:val="26"/>
          </w:rPr>
          <w:t>.ru</w:t>
        </w:r>
      </w:hyperlink>
      <w:r w:rsidR="000061DA" w:rsidRPr="002F56F2">
        <w:rPr>
          <w:rStyle w:val="rvts31451"/>
          <w:sz w:val="26"/>
          <w:szCs w:val="26"/>
        </w:rPr>
        <w:t>)</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w:t>
      </w:r>
      <w:r w:rsidR="00DA4AFC" w:rsidRPr="00E079FF">
        <w:rPr>
          <w:sz w:val="26"/>
          <w:szCs w:val="26"/>
          <w:highlight w:val="yellow"/>
        </w:rPr>
        <w:t xml:space="preserve">открытом запросе </w:t>
      </w:r>
      <w:r w:rsidR="00293639" w:rsidRPr="00E079FF">
        <w:rPr>
          <w:sz w:val="26"/>
          <w:szCs w:val="26"/>
          <w:highlight w:val="yellow"/>
        </w:rPr>
        <w:t>предложений</w:t>
      </w:r>
      <w:r w:rsidR="00DA4AFC" w:rsidRPr="00E079FF">
        <w:rPr>
          <w:sz w:val="26"/>
          <w:szCs w:val="26"/>
          <w:highlight w:val="yellow"/>
        </w:rPr>
        <w:t xml:space="preserve"> на право заключения </w:t>
      </w:r>
      <w:r w:rsidR="00C37308" w:rsidRPr="00E079FF">
        <w:rPr>
          <w:sz w:val="26"/>
          <w:szCs w:val="26"/>
          <w:highlight w:val="yellow"/>
        </w:rPr>
        <w:t>договора на оказание услуг по обеспечению выезда вооруженных групп быстрого реагирования при срабатывании тревожной сигнализации и техническое</w:t>
      </w:r>
      <w:proofErr w:type="gramEnd"/>
      <w:r w:rsidR="00C37308" w:rsidRPr="00E079FF">
        <w:rPr>
          <w:sz w:val="26"/>
          <w:szCs w:val="26"/>
          <w:highlight w:val="yellow"/>
        </w:rPr>
        <w:t xml:space="preserve"> обслуживание оборудования </w:t>
      </w:r>
      <w:r w:rsidR="00586D88" w:rsidRPr="00E079FF">
        <w:rPr>
          <w:sz w:val="26"/>
          <w:szCs w:val="26"/>
          <w:highlight w:val="yellow"/>
        </w:rPr>
        <w:t>тревожной сигнализации</w:t>
      </w:r>
      <w:r w:rsidR="00DA4AFC" w:rsidRPr="00E079FF">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293639" w:rsidRPr="00BD1EED">
        <w:rPr>
          <w:sz w:val="26"/>
          <w:szCs w:val="26"/>
        </w:rPr>
        <w:t>предложений</w:t>
      </w:r>
      <w:r w:rsidRPr="00BD1EED">
        <w:rPr>
          <w:sz w:val="26"/>
          <w:szCs w:val="26"/>
        </w:rPr>
        <w:t xml:space="preserve"> не является офертой или публичной офертой Заказчика. Данная процедура запроса </w:t>
      </w:r>
      <w:r w:rsidR="00BB049D" w:rsidRPr="00BD1EED">
        <w:rPr>
          <w:sz w:val="26"/>
          <w:szCs w:val="26"/>
        </w:rPr>
        <w:t>предложений</w:t>
      </w:r>
      <w:r w:rsidRPr="00BD1EED">
        <w:rPr>
          <w:sz w:val="26"/>
          <w:szCs w:val="26"/>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96120B">
        <w:rPr>
          <w:sz w:val="26"/>
          <w:szCs w:val="26"/>
        </w:rPr>
        <w:t>предложений</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0061DA" w:rsidRDefault="009D2758" w:rsidP="000061DA">
      <w:pPr>
        <w:pStyle w:val="3"/>
        <w:numPr>
          <w:ilvl w:val="1"/>
          <w:numId w:val="3"/>
        </w:numPr>
        <w:spacing w:line="240" w:lineRule="auto"/>
        <w:rPr>
          <w:rStyle w:val="rvts31451"/>
          <w:sz w:val="26"/>
          <w:szCs w:val="26"/>
        </w:rPr>
      </w:pPr>
      <w:r w:rsidRPr="00BD1EED">
        <w:rPr>
          <w:rStyle w:val="rvts31451"/>
          <w:sz w:val="26"/>
          <w:szCs w:val="26"/>
        </w:rPr>
        <w:t>Документация по открытому запросу предложений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BD1EED">
          <w:rPr>
            <w:rStyle w:val="a5"/>
            <w:sz w:val="26"/>
            <w:szCs w:val="26"/>
          </w:rPr>
          <w:t>www.kenet.ru</w:t>
        </w:r>
      </w:hyperlink>
      <w:r w:rsidRPr="00BD1EED">
        <w:rPr>
          <w:rStyle w:val="rvts31451"/>
          <w:sz w:val="26"/>
          <w:szCs w:val="26"/>
        </w:rPr>
        <w:t>)</w:t>
      </w:r>
      <w:r w:rsidR="000061DA" w:rsidRPr="000061DA">
        <w:rPr>
          <w:rStyle w:val="rvts31451"/>
          <w:sz w:val="26"/>
          <w:szCs w:val="26"/>
        </w:rPr>
        <w:t xml:space="preserve"> </w:t>
      </w:r>
      <w:r w:rsidR="000061DA" w:rsidRPr="002F56F2">
        <w:rPr>
          <w:rStyle w:val="rvts31451"/>
          <w:sz w:val="26"/>
          <w:szCs w:val="26"/>
        </w:rPr>
        <w:t>и на сайте (</w:t>
      </w:r>
      <w:hyperlink r:id="rId16" w:history="1">
        <w:r w:rsidR="000061DA" w:rsidRPr="000F2E1B">
          <w:rPr>
            <w:rStyle w:val="a5"/>
            <w:sz w:val="26"/>
            <w:szCs w:val="26"/>
          </w:rPr>
          <w:t>www.</w:t>
        </w:r>
        <w:r w:rsidR="000061DA" w:rsidRPr="000F2E1B">
          <w:rPr>
            <w:rStyle w:val="a5"/>
            <w:sz w:val="26"/>
            <w:szCs w:val="26"/>
            <w:lang w:val="en-US"/>
          </w:rPr>
          <w:t>zakupki</w:t>
        </w:r>
        <w:r w:rsidR="000061DA" w:rsidRPr="000F2E1B">
          <w:rPr>
            <w:rStyle w:val="a5"/>
            <w:sz w:val="26"/>
            <w:szCs w:val="26"/>
          </w:rPr>
          <w:t>.</w:t>
        </w:r>
        <w:r w:rsidR="000061DA" w:rsidRPr="000F2E1B">
          <w:rPr>
            <w:rStyle w:val="a5"/>
            <w:sz w:val="26"/>
            <w:szCs w:val="26"/>
            <w:lang w:val="en-US"/>
          </w:rPr>
          <w:t>gov</w:t>
        </w:r>
        <w:r w:rsidR="000061DA" w:rsidRPr="000F2E1B">
          <w:rPr>
            <w:rStyle w:val="a5"/>
            <w:sz w:val="26"/>
            <w:szCs w:val="26"/>
          </w:rPr>
          <w:t>.</w:t>
        </w:r>
        <w:proofErr w:type="spellStart"/>
        <w:r w:rsidR="000061DA" w:rsidRPr="000F2E1B">
          <w:rPr>
            <w:rStyle w:val="a5"/>
            <w:sz w:val="26"/>
            <w:szCs w:val="26"/>
          </w:rPr>
          <w:t>ru</w:t>
        </w:r>
        <w:proofErr w:type="spellEnd"/>
      </w:hyperlink>
      <w:r w:rsidR="000061DA" w:rsidRPr="002F56F2">
        <w:rPr>
          <w:rStyle w:val="rvts31451"/>
          <w:sz w:val="26"/>
          <w:szCs w:val="26"/>
        </w:rPr>
        <w:t>).</w:t>
      </w:r>
      <w:r w:rsidR="000061DA"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D5323B" w:rsidRPr="000061DA" w:rsidRDefault="005F6A2F" w:rsidP="000061DA">
      <w:pPr>
        <w:pStyle w:val="3"/>
        <w:numPr>
          <w:ilvl w:val="1"/>
          <w:numId w:val="3"/>
        </w:numPr>
        <w:spacing w:line="240" w:lineRule="auto"/>
        <w:rPr>
          <w:sz w:val="26"/>
          <w:szCs w:val="26"/>
        </w:rPr>
      </w:pPr>
      <w:r w:rsidRPr="000061DA">
        <w:rPr>
          <w:sz w:val="26"/>
          <w:szCs w:val="26"/>
        </w:rPr>
        <w:t xml:space="preserve">Предметом </w:t>
      </w:r>
      <w:r w:rsidR="009252C6" w:rsidRPr="000061DA">
        <w:rPr>
          <w:sz w:val="26"/>
          <w:szCs w:val="26"/>
        </w:rPr>
        <w:t xml:space="preserve">запроса </w:t>
      </w:r>
      <w:r w:rsidR="00293639" w:rsidRPr="000061DA">
        <w:rPr>
          <w:sz w:val="26"/>
          <w:szCs w:val="26"/>
        </w:rPr>
        <w:t>предложений</w:t>
      </w:r>
      <w:r w:rsidRPr="000061DA">
        <w:rPr>
          <w:sz w:val="26"/>
          <w:szCs w:val="26"/>
        </w:rPr>
        <w:t xml:space="preserve"> является право заключения </w:t>
      </w:r>
      <w:r w:rsidR="00FF187F" w:rsidRPr="00FF187F">
        <w:rPr>
          <w:bCs/>
          <w:sz w:val="26"/>
          <w:szCs w:val="26"/>
          <w:highlight w:val="yellow"/>
        </w:rPr>
        <w:t xml:space="preserve">договора </w:t>
      </w:r>
      <w:r w:rsidR="00FF187F" w:rsidRPr="00FF187F">
        <w:rPr>
          <w:sz w:val="26"/>
          <w:szCs w:val="26"/>
          <w:highlight w:val="yellow"/>
        </w:rPr>
        <w:t xml:space="preserve">на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w:t>
      </w:r>
      <w:r w:rsidR="00586D88" w:rsidRPr="00FF187F">
        <w:rPr>
          <w:sz w:val="26"/>
          <w:szCs w:val="26"/>
          <w:highlight w:val="yellow"/>
        </w:rPr>
        <w:t>тревожной сигнализации</w:t>
      </w:r>
      <w:r w:rsidR="000061DA">
        <w:rPr>
          <w:bCs/>
          <w:sz w:val="26"/>
          <w:szCs w:val="26"/>
          <w:highlight w:val="yellow"/>
        </w:rPr>
        <w:t>.</w:t>
      </w:r>
    </w:p>
    <w:p w:rsidR="000061DA" w:rsidRPr="000061DA" w:rsidRDefault="000061DA" w:rsidP="000061DA">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19525F" w:rsidRPr="00BD1EED">
        <w:rPr>
          <w:b/>
          <w:sz w:val="26"/>
          <w:szCs w:val="26"/>
        </w:rPr>
        <w:t>предложений</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аявки на участие в запросе предложений,</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E255D8">
        <w:rPr>
          <w:sz w:val="26"/>
          <w:szCs w:val="26"/>
        </w:rPr>
        <w:t>предложений</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предложений </w:t>
      </w:r>
      <w:r w:rsidR="008F3DD4" w:rsidRPr="00BD1EED">
        <w:rPr>
          <w:sz w:val="26"/>
          <w:szCs w:val="26"/>
        </w:rPr>
        <w:t>у</w:t>
      </w:r>
      <w:r w:rsidRPr="00BD1EED">
        <w:rPr>
          <w:sz w:val="26"/>
          <w:szCs w:val="26"/>
        </w:rPr>
        <w:t xml:space="preserve">частники </w:t>
      </w:r>
      <w:r w:rsidR="000C1F8C" w:rsidRPr="00BD1EED">
        <w:rPr>
          <w:sz w:val="26"/>
          <w:szCs w:val="26"/>
        </w:rPr>
        <w:t>запроса предложений</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lastRenderedPageBreak/>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запроса предложений</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предложений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участником запроса предложений</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участника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w:t>
      </w:r>
      <w:r w:rsidR="00E255D8">
        <w:rPr>
          <w:sz w:val="26"/>
          <w:szCs w:val="26"/>
        </w:rPr>
        <w:t>ументы, представляемые участником</w:t>
      </w:r>
      <w:r w:rsidR="000C1F8C" w:rsidRPr="00BD1EED">
        <w:rPr>
          <w:sz w:val="26"/>
          <w:szCs w:val="26"/>
        </w:rPr>
        <w:t xml:space="preserve"> запроса предложений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запросе предложений</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sidR="00D5323B">
        <w:rPr>
          <w:sz w:val="26"/>
          <w:szCs w:val="26"/>
        </w:rPr>
        <w:t xml:space="preserve">адрес электронной почты, </w:t>
      </w:r>
      <w:r w:rsidRPr="00BD1EED">
        <w:rPr>
          <w:sz w:val="26"/>
          <w:szCs w:val="26"/>
        </w:rPr>
        <w:t>номер контактного телефона</w:t>
      </w:r>
      <w:r w:rsidR="00D5323B">
        <w:rPr>
          <w:sz w:val="26"/>
          <w:szCs w:val="26"/>
        </w:rPr>
        <w:t>, факс</w:t>
      </w:r>
      <w:r w:rsidRPr="00BD1EED">
        <w:rPr>
          <w:sz w:val="26"/>
          <w:szCs w:val="26"/>
        </w:rPr>
        <w:t>;</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293639" w:rsidRPr="00BD1EED">
        <w:rPr>
          <w:sz w:val="26"/>
          <w:szCs w:val="26"/>
        </w:rPr>
        <w:t>предложений</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участника запроса предложений</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sidR="007D3C6F">
        <w:rPr>
          <w:sz w:val="26"/>
          <w:szCs w:val="26"/>
        </w:rPr>
        <w:t>;</w:t>
      </w:r>
    </w:p>
    <w:p w:rsidR="000061DA" w:rsidRDefault="000061DA" w:rsidP="000061DA">
      <w:pPr>
        <w:pStyle w:val="ac"/>
        <w:rPr>
          <w:sz w:val="26"/>
          <w:szCs w:val="26"/>
        </w:rPr>
      </w:pPr>
    </w:p>
    <w:p w:rsidR="000061DA" w:rsidRPr="00C94C37" w:rsidRDefault="000061DA" w:rsidP="000061DA">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w:t>
      </w:r>
      <w:r>
        <w:rPr>
          <w:sz w:val="26"/>
          <w:szCs w:val="26"/>
          <w:highlight w:val="yellow"/>
        </w:rPr>
        <w:t>ика (положительные рекомендации</w:t>
      </w:r>
      <w:r w:rsidRPr="00C94C37">
        <w:rPr>
          <w:sz w:val="26"/>
          <w:szCs w:val="26"/>
          <w:highlight w:val="yellow"/>
        </w:rPr>
        <w:t>).</w:t>
      </w:r>
    </w:p>
    <w:p w:rsidR="008C56CD" w:rsidRPr="00BD1EED" w:rsidRDefault="008C56CD" w:rsidP="008C56CD">
      <w:pPr>
        <w:pStyle w:val="a8"/>
        <w:spacing w:before="0" w:line="240" w:lineRule="auto"/>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D3127F" w:rsidRPr="00BD1EED">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несение изменений в документацию открытого запроса предложений и в извещение о проведении открытого запроса предложений</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предложений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Pr="00BD1EED">
        <w:rPr>
          <w:sz w:val="26"/>
          <w:szCs w:val="26"/>
        </w:rPr>
        <w:lastRenderedPageBreak/>
        <w:t>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Извещение об отказе от проведения запроса предложений размещается заказчиком на сайте заказчика.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 использующие документацию с сайта заказчика,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(максимальной) цене договора</w:t>
      </w:r>
      <w:r w:rsidR="00E41CE8">
        <w:rPr>
          <w:b/>
          <w:sz w:val="26"/>
          <w:szCs w:val="26"/>
        </w:rPr>
        <w:t>.</w:t>
      </w:r>
    </w:p>
    <w:p w:rsidR="000A4D22" w:rsidRPr="00BD1EED" w:rsidRDefault="000A4D22" w:rsidP="00B03095">
      <w:pPr>
        <w:pStyle w:val="a8"/>
        <w:spacing w:before="0" w:line="240" w:lineRule="auto"/>
        <w:rPr>
          <w:sz w:val="26"/>
          <w:szCs w:val="26"/>
        </w:rPr>
      </w:pPr>
    </w:p>
    <w:p w:rsidR="00183879" w:rsidRDefault="008E4564" w:rsidP="00C902BF">
      <w:pPr>
        <w:pStyle w:val="3"/>
        <w:numPr>
          <w:ilvl w:val="1"/>
          <w:numId w:val="3"/>
        </w:numPr>
        <w:tabs>
          <w:tab w:val="left" w:pos="993"/>
        </w:tabs>
        <w:spacing w:line="240" w:lineRule="auto"/>
        <w:rPr>
          <w:sz w:val="26"/>
          <w:szCs w:val="26"/>
        </w:rPr>
      </w:pPr>
      <w:r>
        <w:rPr>
          <w:sz w:val="26"/>
          <w:szCs w:val="26"/>
        </w:rPr>
        <w:t xml:space="preserve">Начальная </w:t>
      </w:r>
      <w:r w:rsidR="00E37BDB">
        <w:rPr>
          <w:sz w:val="26"/>
          <w:szCs w:val="26"/>
        </w:rPr>
        <w:t xml:space="preserve">(максимальная) </w:t>
      </w:r>
      <w:r>
        <w:rPr>
          <w:sz w:val="26"/>
          <w:szCs w:val="26"/>
        </w:rPr>
        <w:t>ц</w:t>
      </w:r>
      <w:r w:rsidR="00E37BDB">
        <w:rPr>
          <w:sz w:val="26"/>
          <w:szCs w:val="26"/>
        </w:rPr>
        <w:t>ена договора</w:t>
      </w:r>
      <w:r w:rsidR="009E4991" w:rsidRPr="00BD1EED">
        <w:rPr>
          <w:sz w:val="26"/>
          <w:szCs w:val="26"/>
        </w:rPr>
        <w:t xml:space="preserve"> –</w:t>
      </w:r>
      <w:r w:rsidR="00E37BDB">
        <w:rPr>
          <w:sz w:val="26"/>
          <w:szCs w:val="26"/>
        </w:rPr>
        <w:t xml:space="preserve"> </w:t>
      </w:r>
      <w:r w:rsidR="00C02128" w:rsidRPr="00C02128">
        <w:rPr>
          <w:b/>
          <w:i/>
          <w:sz w:val="26"/>
          <w:szCs w:val="26"/>
          <w:highlight w:val="yellow"/>
          <w:u w:val="single"/>
        </w:rPr>
        <w:t>450</w:t>
      </w:r>
      <w:r w:rsidR="000061DA">
        <w:rPr>
          <w:b/>
          <w:i/>
          <w:sz w:val="26"/>
          <w:szCs w:val="26"/>
          <w:highlight w:val="yellow"/>
          <w:u w:val="single"/>
        </w:rPr>
        <w:t xml:space="preserve"> 000,00 </w:t>
      </w:r>
      <w:r w:rsidR="000061DA" w:rsidRPr="00453EF0">
        <w:rPr>
          <w:i/>
          <w:sz w:val="26"/>
          <w:szCs w:val="26"/>
          <w:highlight w:val="yellow"/>
          <w:u w:val="single"/>
        </w:rPr>
        <w:t>(</w:t>
      </w:r>
      <w:r w:rsidR="000061DA">
        <w:rPr>
          <w:i/>
          <w:sz w:val="26"/>
          <w:szCs w:val="26"/>
          <w:highlight w:val="yellow"/>
          <w:u w:val="single"/>
        </w:rPr>
        <w:t xml:space="preserve">четыреста </w:t>
      </w:r>
      <w:r w:rsidR="00C02128">
        <w:rPr>
          <w:i/>
          <w:sz w:val="26"/>
          <w:szCs w:val="26"/>
          <w:highlight w:val="yellow"/>
          <w:u w:val="single"/>
        </w:rPr>
        <w:t>пять</w:t>
      </w:r>
      <w:r w:rsidR="000061DA">
        <w:rPr>
          <w:i/>
          <w:sz w:val="26"/>
          <w:szCs w:val="26"/>
          <w:highlight w:val="yellow"/>
          <w:u w:val="single"/>
        </w:rPr>
        <w:t xml:space="preserve">десят </w:t>
      </w:r>
      <w:r w:rsidR="00C02128">
        <w:rPr>
          <w:i/>
          <w:sz w:val="26"/>
          <w:szCs w:val="26"/>
          <w:highlight w:val="yellow"/>
          <w:u w:val="single"/>
        </w:rPr>
        <w:t>тысяч</w:t>
      </w:r>
      <w:r w:rsidR="000061DA" w:rsidRPr="004E6F31">
        <w:rPr>
          <w:i/>
          <w:sz w:val="26"/>
          <w:szCs w:val="26"/>
          <w:highlight w:val="yellow"/>
          <w:u w:val="single"/>
        </w:rPr>
        <w:t>) рублей 00 копеек</w:t>
      </w:r>
      <w:r w:rsidR="00E37BDB">
        <w:rPr>
          <w:sz w:val="26"/>
          <w:szCs w:val="26"/>
        </w:rPr>
        <w:t xml:space="preserve"> </w:t>
      </w:r>
      <w:r w:rsidR="004256C6" w:rsidRPr="00BD1EED">
        <w:rPr>
          <w:sz w:val="26"/>
          <w:szCs w:val="26"/>
        </w:rPr>
        <w:t>(с учетом всех расходов</w:t>
      </w:r>
      <w:r w:rsidR="00D5323B">
        <w:rPr>
          <w:sz w:val="26"/>
          <w:szCs w:val="26"/>
        </w:rPr>
        <w:t xml:space="preserve">, сборов, связанных с </w:t>
      </w:r>
      <w:r w:rsidR="00E37BDB">
        <w:rPr>
          <w:sz w:val="26"/>
          <w:szCs w:val="26"/>
        </w:rPr>
        <w:t xml:space="preserve">заключением </w:t>
      </w:r>
      <w:r w:rsidR="00066710">
        <w:rPr>
          <w:sz w:val="26"/>
          <w:szCs w:val="26"/>
        </w:rPr>
        <w:t>договора</w:t>
      </w:r>
      <w:r w:rsidR="004256C6" w:rsidRPr="00BD1EED">
        <w:rPr>
          <w:sz w:val="26"/>
          <w:szCs w:val="26"/>
        </w:rPr>
        <w:t>)</w:t>
      </w:r>
      <w:r w:rsidR="009E4991" w:rsidRPr="00BD1EED">
        <w:rPr>
          <w:sz w:val="26"/>
          <w:szCs w:val="26"/>
        </w:rPr>
        <w:t xml:space="preserve">. </w:t>
      </w:r>
    </w:p>
    <w:p w:rsidR="000061DA" w:rsidRPr="00BD1EED" w:rsidRDefault="000061DA" w:rsidP="000061DA">
      <w:pPr>
        <w:pStyle w:val="3"/>
        <w:numPr>
          <w:ilvl w:val="0"/>
          <w:numId w:val="0"/>
        </w:numPr>
        <w:tabs>
          <w:tab w:val="left" w:pos="993"/>
        </w:tabs>
        <w:spacing w:line="240" w:lineRule="auto"/>
        <w:ind w:left="792"/>
        <w:rPr>
          <w:sz w:val="26"/>
          <w:szCs w:val="26"/>
        </w:rPr>
      </w:pPr>
    </w:p>
    <w:p w:rsidR="000061DA" w:rsidRPr="000061DA" w:rsidRDefault="000061DA" w:rsidP="000061DA">
      <w:pPr>
        <w:pStyle w:val="3"/>
        <w:numPr>
          <w:ilvl w:val="1"/>
          <w:numId w:val="3"/>
        </w:numPr>
        <w:tabs>
          <w:tab w:val="left" w:pos="993"/>
        </w:tabs>
        <w:spacing w:line="240" w:lineRule="auto"/>
        <w:rPr>
          <w:sz w:val="26"/>
          <w:szCs w:val="26"/>
        </w:rPr>
      </w:pPr>
      <w:r w:rsidRPr="000061DA">
        <w:rPr>
          <w:sz w:val="26"/>
          <w:szCs w:val="26"/>
        </w:rPr>
        <w:t xml:space="preserve">Цена договора, </w:t>
      </w:r>
      <w:r w:rsidR="00C37308">
        <w:rPr>
          <w:sz w:val="26"/>
          <w:szCs w:val="26"/>
        </w:rPr>
        <w:t xml:space="preserve">предложенная участником запроса предложений, </w:t>
      </w:r>
      <w:r w:rsidR="00586D88">
        <w:rPr>
          <w:sz w:val="26"/>
          <w:szCs w:val="26"/>
        </w:rPr>
        <w:t>не должна превышать начальную (максимальную) цену закупки, указанную</w:t>
      </w:r>
      <w:r w:rsidRPr="000061DA">
        <w:rPr>
          <w:sz w:val="26"/>
          <w:szCs w:val="26"/>
        </w:rPr>
        <w:t xml:space="preserve"> в изв</w:t>
      </w:r>
      <w:r w:rsidR="00C37308">
        <w:rPr>
          <w:sz w:val="26"/>
          <w:szCs w:val="26"/>
        </w:rPr>
        <w:t>ещении и настоящей документации</w:t>
      </w:r>
      <w:r w:rsidRPr="000061DA">
        <w:rPr>
          <w:sz w:val="26"/>
          <w:szCs w:val="26"/>
        </w:rPr>
        <w:t xml:space="preserve">. </w:t>
      </w:r>
    </w:p>
    <w:p w:rsidR="00CD2451" w:rsidRPr="00CD2451" w:rsidRDefault="00CD2451" w:rsidP="00CD2451">
      <w:pPr>
        <w:pStyle w:val="3"/>
        <w:numPr>
          <w:ilvl w:val="0"/>
          <w:numId w:val="0"/>
        </w:numPr>
        <w:tabs>
          <w:tab w:val="left" w:pos="993"/>
        </w:tabs>
        <w:spacing w:line="240" w:lineRule="auto"/>
        <w:ind w:left="792"/>
        <w:rPr>
          <w:sz w:val="26"/>
          <w:szCs w:val="26"/>
          <w:highlight w:val="yellow"/>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аявке на участие в запросе предложений.</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w:t>
      </w:r>
      <w:r w:rsidR="00183879" w:rsidRPr="00BD1EED">
        <w:rPr>
          <w:sz w:val="26"/>
          <w:szCs w:val="26"/>
        </w:rPr>
        <w:t xml:space="preserve"> указывают цену оказываемых услуг с учетом 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D5323B">
        <w:rPr>
          <w:sz w:val="26"/>
          <w:szCs w:val="26"/>
        </w:rPr>
        <w:t>, в т.ч. с учетом оплаты услуг третьих лиц.</w:t>
      </w:r>
      <w:r w:rsidR="00183879" w:rsidRPr="00BD1EED">
        <w:rPr>
          <w:sz w:val="26"/>
          <w:szCs w:val="26"/>
        </w:rPr>
        <w:t xml:space="preserve">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участники запроса предложений</w:t>
      </w:r>
      <w:r w:rsidR="00183879" w:rsidRPr="00BD1EED">
        <w:rPr>
          <w:sz w:val="26"/>
          <w:szCs w:val="26"/>
        </w:rPr>
        <w:t xml:space="preserve"> должны оплачив</w:t>
      </w:r>
      <w:r w:rsidR="00DB3852" w:rsidRPr="00BD1EED">
        <w:rPr>
          <w:sz w:val="26"/>
          <w:szCs w:val="26"/>
        </w:rPr>
        <w:t xml:space="preserve">ать в соответствии с оказанием </w:t>
      </w:r>
      <w:r w:rsidR="00DB3852" w:rsidRPr="00BD1EED">
        <w:rPr>
          <w:sz w:val="26"/>
          <w:szCs w:val="26"/>
        </w:rPr>
        <w:lastRenderedPageBreak/>
        <w:t>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участником запроса предложений</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Форма, сроки и порядок оплаты услуг определяются проектом договора (Приложение 1 к настоящей документации)</w:t>
      </w:r>
      <w:r w:rsidRPr="00BD1EED">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19525F" w:rsidRPr="00BD1EED">
        <w:rPr>
          <w:b/>
          <w:sz w:val="26"/>
          <w:szCs w:val="26"/>
        </w:rPr>
        <w:t>предложений</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предложений </w:t>
      </w:r>
      <w:r w:rsidR="000C1F8C" w:rsidRPr="00BD1EED">
        <w:rPr>
          <w:sz w:val="26"/>
          <w:szCs w:val="26"/>
        </w:rPr>
        <w:t>участник запроса предложений</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Дата начала подачи заявок на участие в запросе предложений - со дня размещения извещения о запросе предложений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D5323B"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предложений –     </w:t>
      </w:r>
      <w:r w:rsidR="00C37308">
        <w:rPr>
          <w:sz w:val="26"/>
          <w:szCs w:val="26"/>
          <w:highlight w:val="yellow"/>
        </w:rPr>
        <w:t>28.01.2013</w:t>
      </w:r>
      <w:r w:rsidRPr="00D5323B">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подаёт заявку на участие в запросе предложений</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наименование открытого запроса предл</w:t>
      </w:r>
      <w:r w:rsidR="0010660B">
        <w:rPr>
          <w:sz w:val="26"/>
          <w:szCs w:val="26"/>
        </w:rPr>
        <w:t>ожений,  реестровый номер закупки</w:t>
      </w:r>
      <w:r w:rsidR="00F429E7" w:rsidRPr="00BD1EED">
        <w:rPr>
          <w:sz w:val="26"/>
          <w:szCs w:val="26"/>
        </w:rPr>
        <w:t xml:space="preserve"> следующим образом: «Заявка </w:t>
      </w:r>
      <w:proofErr w:type="gramStart"/>
      <w:r w:rsidR="00F429E7" w:rsidRPr="00BD1EED">
        <w:rPr>
          <w:sz w:val="26"/>
          <w:szCs w:val="26"/>
        </w:rPr>
        <w:t xml:space="preserve">на участие в открытом запросе предложений на право заключения </w:t>
      </w:r>
      <w:r w:rsidR="00FF187F" w:rsidRPr="00FF187F">
        <w:rPr>
          <w:bCs/>
          <w:sz w:val="26"/>
          <w:szCs w:val="26"/>
          <w:highlight w:val="yellow"/>
        </w:rPr>
        <w:t xml:space="preserve">договора </w:t>
      </w:r>
      <w:r w:rsidR="00FF187F" w:rsidRPr="00FF187F">
        <w:rPr>
          <w:sz w:val="26"/>
          <w:szCs w:val="26"/>
          <w:highlight w:val="yellow"/>
        </w:rPr>
        <w:t>на оказание услуг по обеспечению</w:t>
      </w:r>
      <w:proofErr w:type="gramEnd"/>
      <w:r w:rsidR="00FF187F" w:rsidRPr="00FF187F">
        <w:rPr>
          <w:sz w:val="26"/>
          <w:szCs w:val="26"/>
          <w:highlight w:val="yellow"/>
        </w:rPr>
        <w:t xml:space="preserve"> выезда вооруженных групп быстрого реагирования при срабатывании тревожной сигнализации и техническое обслуживание оборудования </w:t>
      </w:r>
      <w:r w:rsidR="00586D88" w:rsidRPr="00FF187F">
        <w:rPr>
          <w:sz w:val="26"/>
          <w:szCs w:val="26"/>
          <w:highlight w:val="yellow"/>
        </w:rPr>
        <w:t>тревожной сигнализации</w:t>
      </w:r>
      <w:r w:rsidR="000061DA">
        <w:rPr>
          <w:bCs/>
          <w:sz w:val="26"/>
          <w:szCs w:val="26"/>
          <w:highlight w:val="yellow"/>
        </w:rPr>
        <w:t>.</w:t>
      </w:r>
      <w:r w:rsidR="00F429E7" w:rsidRPr="00BD1EED">
        <w:rPr>
          <w:sz w:val="26"/>
          <w:szCs w:val="26"/>
        </w:rPr>
        <w:t xml:space="preserve"> </w:t>
      </w:r>
      <w:r w:rsidR="000F1A2A">
        <w:rPr>
          <w:sz w:val="26"/>
          <w:szCs w:val="26"/>
        </w:rPr>
        <w:t>Реестровый номер закупки ОЗП №001</w:t>
      </w:r>
      <w:r w:rsidR="001F01F8">
        <w:rPr>
          <w:sz w:val="26"/>
          <w:szCs w:val="26"/>
        </w:rPr>
        <w:t>/201</w:t>
      </w:r>
      <w:r w:rsidR="000F1A2A">
        <w:rPr>
          <w:sz w:val="26"/>
          <w:szCs w:val="26"/>
        </w:rPr>
        <w:t>3</w:t>
      </w:r>
      <w:r w:rsidR="00F429E7" w:rsidRPr="00BD1EED">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Участник запроса предложений</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w:t>
      </w:r>
      <w:r w:rsidR="0010660B">
        <w:rPr>
          <w:sz w:val="26"/>
          <w:szCs w:val="26"/>
        </w:rPr>
        <w:t>в закупках</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участника запроса предложений</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D5323B" w:rsidRDefault="000C1F8C" w:rsidP="00C902BF">
      <w:pPr>
        <w:pStyle w:val="3"/>
        <w:numPr>
          <w:ilvl w:val="1"/>
          <w:numId w:val="3"/>
        </w:numPr>
        <w:tabs>
          <w:tab w:val="left" w:pos="993"/>
        </w:tabs>
        <w:spacing w:line="240" w:lineRule="auto"/>
        <w:rPr>
          <w:sz w:val="26"/>
          <w:szCs w:val="26"/>
        </w:rPr>
      </w:pPr>
      <w:r w:rsidRPr="00D5323B">
        <w:rPr>
          <w:sz w:val="26"/>
          <w:szCs w:val="26"/>
        </w:rPr>
        <w:t>Участнику запроса предложений</w:t>
      </w:r>
      <w:r w:rsidR="008513EB" w:rsidRPr="00D5323B">
        <w:rPr>
          <w:sz w:val="26"/>
          <w:szCs w:val="26"/>
        </w:rPr>
        <w:t>, подавшему конверт с з</w:t>
      </w:r>
      <w:r w:rsidR="00F429E7" w:rsidRPr="00D5323B">
        <w:rPr>
          <w:sz w:val="26"/>
          <w:szCs w:val="26"/>
        </w:rPr>
        <w:t>аявко</w:t>
      </w:r>
      <w:r w:rsidR="008513EB" w:rsidRPr="00D5323B">
        <w:rPr>
          <w:sz w:val="26"/>
          <w:szCs w:val="26"/>
        </w:rPr>
        <w:t>й, по его требованию з</w:t>
      </w:r>
      <w:r w:rsidR="00F429E7" w:rsidRPr="00D5323B">
        <w:rPr>
          <w:sz w:val="26"/>
          <w:szCs w:val="26"/>
        </w:rPr>
        <w:t>аказчиком выдается р</w:t>
      </w:r>
      <w:r w:rsidR="008513EB" w:rsidRPr="00D5323B">
        <w:rPr>
          <w:sz w:val="26"/>
          <w:szCs w:val="26"/>
        </w:rPr>
        <w:t>асписка в получении конверта с з</w:t>
      </w:r>
      <w:r w:rsidR="00F429E7" w:rsidRPr="00D5323B">
        <w:rPr>
          <w:sz w:val="26"/>
          <w:szCs w:val="26"/>
        </w:rPr>
        <w:t>аявкой на участие в запросе пре</w:t>
      </w:r>
      <w:r w:rsidR="008513EB" w:rsidRPr="00D5323B">
        <w:rPr>
          <w:sz w:val="26"/>
          <w:szCs w:val="26"/>
        </w:rPr>
        <w:t xml:space="preserve">дложений. </w:t>
      </w:r>
      <w:r w:rsidR="00F429E7" w:rsidRPr="00D5323B">
        <w:rPr>
          <w:sz w:val="26"/>
          <w:szCs w:val="26"/>
        </w:rPr>
        <w:t>Такая расписка должна содер</w:t>
      </w:r>
      <w:r w:rsidR="008513EB" w:rsidRPr="00D5323B">
        <w:rPr>
          <w:sz w:val="26"/>
          <w:szCs w:val="26"/>
        </w:rPr>
        <w:t>жать регистрационный номер з</w:t>
      </w:r>
      <w:r w:rsidR="00F429E7" w:rsidRPr="00D5323B">
        <w:rPr>
          <w:sz w:val="26"/>
          <w:szCs w:val="26"/>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D5323B">
        <w:rPr>
          <w:sz w:val="26"/>
          <w:szCs w:val="26"/>
        </w:rPr>
        <w:t>конверт с заявкой, указанные в журнале регистрации з</w:t>
      </w:r>
      <w:r w:rsidR="00F429E7" w:rsidRPr="00D5323B">
        <w:rPr>
          <w:sz w:val="26"/>
          <w:szCs w:val="26"/>
        </w:rPr>
        <w:t>аявок на участие в 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запроса предложений</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запросе предл</w:t>
      </w:r>
      <w:r w:rsidR="008513EB" w:rsidRPr="00BD1EED">
        <w:rPr>
          <w:sz w:val="26"/>
          <w:szCs w:val="26"/>
        </w:rPr>
        <w:t>ожений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поступления заявок на участие в открытом запросе предложений</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аявок на участие в запросе предложений</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92326C" w:rsidRPr="00BD1EED">
        <w:rPr>
          <w:sz w:val="26"/>
          <w:szCs w:val="26"/>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w:t>
      </w:r>
      <w:r w:rsidR="0092326C" w:rsidRPr="00BD1EED">
        <w:rPr>
          <w:sz w:val="26"/>
          <w:szCs w:val="26"/>
        </w:rPr>
        <w:lastRenderedPageBreak/>
        <w:t xml:space="preserve">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аявку на участие в запросе предложений,</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аявки на участие в запросе предложений подаются в запечатанном конверте. На конверте указываются: наименование запроса</w:t>
      </w:r>
      <w:r w:rsidR="00600064" w:rsidRPr="00BD1EED">
        <w:rPr>
          <w:sz w:val="26"/>
          <w:szCs w:val="26"/>
        </w:rPr>
        <w:t xml:space="preserve"> предложений, реестровый номер з</w:t>
      </w:r>
      <w:r w:rsidRPr="00BD1EED">
        <w:rPr>
          <w:sz w:val="26"/>
          <w:szCs w:val="26"/>
        </w:rPr>
        <w:t>аявки в следующем пор</w:t>
      </w:r>
      <w:r w:rsidR="00E9573E" w:rsidRPr="00BD1EED">
        <w:rPr>
          <w:sz w:val="26"/>
          <w:szCs w:val="26"/>
        </w:rPr>
        <w:t>ядке: «Изменение з</w:t>
      </w:r>
      <w:r w:rsidRPr="00BD1EED">
        <w:rPr>
          <w:sz w:val="26"/>
          <w:szCs w:val="26"/>
        </w:rPr>
        <w:t xml:space="preserve">аявки </w:t>
      </w:r>
      <w:proofErr w:type="gramStart"/>
      <w:r w:rsidRPr="00BD1EED">
        <w:rPr>
          <w:sz w:val="26"/>
          <w:szCs w:val="26"/>
        </w:rPr>
        <w:t>на участие в</w:t>
      </w:r>
      <w:r w:rsidR="00E9573E" w:rsidRPr="00BD1EED">
        <w:rPr>
          <w:sz w:val="26"/>
          <w:szCs w:val="26"/>
        </w:rPr>
        <w:t xml:space="preserve"> открытом запросе предложений на право заключения </w:t>
      </w:r>
      <w:r w:rsidR="00FF187F" w:rsidRPr="00FF187F">
        <w:rPr>
          <w:bCs/>
          <w:sz w:val="26"/>
          <w:szCs w:val="26"/>
          <w:highlight w:val="yellow"/>
        </w:rPr>
        <w:t xml:space="preserve">договора </w:t>
      </w:r>
      <w:r w:rsidR="00FF187F" w:rsidRPr="00FF187F">
        <w:rPr>
          <w:sz w:val="26"/>
          <w:szCs w:val="26"/>
          <w:highlight w:val="yellow"/>
        </w:rPr>
        <w:t>на оказание услуг по обеспечению</w:t>
      </w:r>
      <w:proofErr w:type="gramEnd"/>
      <w:r w:rsidR="00FF187F" w:rsidRPr="00FF187F">
        <w:rPr>
          <w:sz w:val="26"/>
          <w:szCs w:val="26"/>
          <w:highlight w:val="yellow"/>
        </w:rPr>
        <w:t xml:space="preserve"> выезда вооруженных групп быстрого реагирования при срабатывании </w:t>
      </w:r>
      <w:r w:rsidR="00586D88" w:rsidRPr="00FF187F">
        <w:rPr>
          <w:sz w:val="26"/>
          <w:szCs w:val="26"/>
          <w:highlight w:val="yellow"/>
        </w:rPr>
        <w:t>тревожной сигнализации</w:t>
      </w:r>
      <w:r w:rsidR="00FF187F" w:rsidRPr="00FF187F">
        <w:rPr>
          <w:sz w:val="26"/>
          <w:szCs w:val="26"/>
          <w:highlight w:val="yellow"/>
        </w:rPr>
        <w:t xml:space="preserve"> и техническое обслуживание оборудования </w:t>
      </w:r>
      <w:r w:rsidR="00586D88" w:rsidRPr="00FF187F">
        <w:rPr>
          <w:sz w:val="26"/>
          <w:szCs w:val="26"/>
          <w:highlight w:val="yellow"/>
        </w:rPr>
        <w:t>тревожной сигнализации</w:t>
      </w:r>
      <w:r w:rsidR="000F1A2A">
        <w:rPr>
          <w:bCs/>
          <w:sz w:val="26"/>
          <w:szCs w:val="26"/>
          <w:highlight w:val="yellow"/>
        </w:rPr>
        <w:t>.</w:t>
      </w:r>
      <w:r w:rsidR="00E9573E" w:rsidRPr="00BD1EED">
        <w:rPr>
          <w:sz w:val="26"/>
          <w:szCs w:val="26"/>
        </w:rPr>
        <w:t xml:space="preserve"> </w:t>
      </w:r>
      <w:r w:rsidR="000061DA">
        <w:rPr>
          <w:sz w:val="26"/>
          <w:szCs w:val="26"/>
        </w:rPr>
        <w:t>Реестровый номер закупки ОЗП №0</w:t>
      </w:r>
      <w:r w:rsidR="000F1A2A">
        <w:rPr>
          <w:sz w:val="26"/>
          <w:szCs w:val="26"/>
        </w:rPr>
        <w:t>01</w:t>
      </w:r>
      <w:r w:rsidR="001F01F8">
        <w:rPr>
          <w:sz w:val="26"/>
          <w:szCs w:val="26"/>
        </w:rPr>
        <w:t>/201</w:t>
      </w:r>
      <w:r w:rsidR="000F1A2A">
        <w:rPr>
          <w:sz w:val="26"/>
          <w:szCs w:val="26"/>
        </w:rPr>
        <w:t>3</w:t>
      </w:r>
      <w:r w:rsidR="00E9573E" w:rsidRPr="00BD1EED">
        <w:rPr>
          <w:sz w:val="26"/>
          <w:szCs w:val="26"/>
        </w:rPr>
        <w:t>/ПЗ</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звещении о проведении открытого запроса предложений.</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предложений.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предложений.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бования к участникам запроса предложений</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предложений допускаются </w:t>
      </w:r>
      <w:r w:rsidR="0010660B">
        <w:rPr>
          <w:sz w:val="26"/>
          <w:szCs w:val="26"/>
        </w:rPr>
        <w:t>страховые организации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D5323B">
        <w:rPr>
          <w:sz w:val="26"/>
          <w:szCs w:val="26"/>
        </w:rPr>
        <w:t xml:space="preserve">(по </w:t>
      </w:r>
      <w:r w:rsidR="00B07CDD" w:rsidRPr="00BD1EED">
        <w:rPr>
          <w:sz w:val="26"/>
          <w:szCs w:val="26"/>
        </w:rPr>
        <w:t>виду деятельности</w:t>
      </w:r>
      <w:r w:rsidR="00D5323B">
        <w:rPr>
          <w:sz w:val="26"/>
          <w:szCs w:val="26"/>
        </w:rPr>
        <w:t>, соответствующего предмету запроса предложений</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участника запроса предложений</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участника запроса предложений</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участника запроса предложений</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участника запроса предложений</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участника запроса предложений</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8A2A99" w:rsidRDefault="008A2A99" w:rsidP="008A2A99">
      <w:pPr>
        <w:pStyle w:val="ac"/>
        <w:rPr>
          <w:sz w:val="26"/>
          <w:szCs w:val="26"/>
        </w:rPr>
      </w:pPr>
    </w:p>
    <w:p w:rsidR="000F1A2A" w:rsidRPr="000F1A2A" w:rsidRDefault="000F1A2A" w:rsidP="000F1A2A">
      <w:pPr>
        <w:pStyle w:val="3"/>
        <w:numPr>
          <w:ilvl w:val="1"/>
          <w:numId w:val="3"/>
        </w:numPr>
        <w:tabs>
          <w:tab w:val="left" w:pos="993"/>
        </w:tabs>
        <w:spacing w:line="240" w:lineRule="auto"/>
        <w:rPr>
          <w:sz w:val="26"/>
          <w:szCs w:val="26"/>
          <w:highlight w:val="yellow"/>
        </w:rPr>
      </w:pPr>
      <w:proofErr w:type="gramStart"/>
      <w:r w:rsidRPr="000F1A2A">
        <w:rPr>
          <w:sz w:val="26"/>
          <w:szCs w:val="26"/>
          <w:highlight w:val="yellow"/>
        </w:rPr>
        <w:t>Участник должен иметь действующую лицензию на осуществление частной охранной деятельности, выданную в соответствии с законом Российской Федерации от 11 марта 1992г. № 2487-1 «О частной детективной и охранной деятельности в Российской Федерации» (для частных охранных организаций), либо документы, устанавливающие его право на предоставление услуг по охране в соответствии с Федеральным законом Российской Федерации от 14 апреля 1999г. № 77-ФЗ «О ведомственной охране</w:t>
      </w:r>
      <w:proofErr w:type="gramEnd"/>
      <w:r w:rsidRPr="000F1A2A">
        <w:rPr>
          <w:sz w:val="26"/>
          <w:szCs w:val="26"/>
          <w:highlight w:val="yellow"/>
        </w:rPr>
        <w:t>», и/или Федеральным законом от 07 февраля 2011г. № 3-ФЗ «О полиции».</w:t>
      </w:r>
    </w:p>
    <w:p w:rsidR="00E37BDB" w:rsidRPr="00E37BDB" w:rsidRDefault="00E37BDB" w:rsidP="00E37BDB">
      <w:pPr>
        <w:pStyle w:val="3"/>
        <w:numPr>
          <w:ilvl w:val="0"/>
          <w:numId w:val="0"/>
        </w:numPr>
        <w:tabs>
          <w:tab w:val="left" w:pos="993"/>
        </w:tabs>
        <w:spacing w:line="240" w:lineRule="auto"/>
        <w:ind w:left="792"/>
        <w:rPr>
          <w:sz w:val="26"/>
          <w:szCs w:val="26"/>
        </w:rPr>
      </w:pPr>
    </w:p>
    <w:p w:rsidR="008A2A99" w:rsidRPr="00BD1EED" w:rsidRDefault="008A2A99"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предложений несет все расходы, связанные с подготовкой и подачей заявки на участие в запросе предложений, участием </w:t>
      </w:r>
      <w:r w:rsidRPr="00BD1EED">
        <w:rPr>
          <w:sz w:val="26"/>
          <w:szCs w:val="26"/>
        </w:rPr>
        <w:lastRenderedPageBreak/>
        <w:t>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r>
        <w:rPr>
          <w:sz w:val="26"/>
          <w:szCs w:val="26"/>
        </w:rPr>
        <w:t>.</w:t>
      </w:r>
    </w:p>
    <w:p w:rsidR="00750341" w:rsidRPr="00BD1EED" w:rsidRDefault="00750341" w:rsidP="00750341">
      <w:pPr>
        <w:pStyle w:val="aa"/>
        <w:tabs>
          <w:tab w:val="left" w:pos="426"/>
        </w:tabs>
        <w:spacing w:after="0"/>
        <w:ind w:firstLine="0"/>
        <w:rPr>
          <w:sz w:val="26"/>
          <w:szCs w:val="26"/>
        </w:rPr>
      </w:pPr>
    </w:p>
    <w:p w:rsidR="002D54D1" w:rsidRPr="00BD1EED" w:rsidRDefault="002D54D1" w:rsidP="002D54D1">
      <w:pPr>
        <w:pStyle w:val="ac"/>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BD1EED">
        <w:rPr>
          <w:b/>
          <w:sz w:val="26"/>
          <w:szCs w:val="26"/>
        </w:rPr>
        <w:t>предложений</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9841C2" w:rsidRPr="00E37BDB" w:rsidRDefault="00B03095" w:rsidP="009841C2">
      <w:pPr>
        <w:pStyle w:val="3"/>
        <w:numPr>
          <w:ilvl w:val="1"/>
          <w:numId w:val="3"/>
        </w:numPr>
        <w:tabs>
          <w:tab w:val="left" w:pos="993"/>
        </w:tabs>
        <w:spacing w:line="240" w:lineRule="auto"/>
        <w:rPr>
          <w:sz w:val="26"/>
          <w:szCs w:val="26"/>
        </w:rPr>
      </w:pPr>
      <w:r w:rsidRPr="009841C2">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hyperlink r:id="rId17" w:history="1">
        <w:r w:rsidR="009841C2" w:rsidRPr="00E37BDB">
          <w:rPr>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0061DA" w:rsidRDefault="000061DA" w:rsidP="000061DA">
      <w:pPr>
        <w:pStyle w:val="3"/>
        <w:numPr>
          <w:ilvl w:val="1"/>
          <w:numId w:val="3"/>
        </w:numPr>
        <w:tabs>
          <w:tab w:val="left" w:pos="993"/>
        </w:tabs>
        <w:spacing w:line="240" w:lineRule="auto"/>
        <w:rPr>
          <w:sz w:val="26"/>
          <w:szCs w:val="26"/>
        </w:rPr>
      </w:pPr>
      <w:r w:rsidRPr="0002531E">
        <w:rPr>
          <w:sz w:val="26"/>
          <w:szCs w:val="26"/>
        </w:rPr>
        <w:t>Срок для разъяснений положений документации:</w:t>
      </w:r>
      <w:r w:rsidRPr="0002531E">
        <w:rPr>
          <w:sz w:val="26"/>
          <w:szCs w:val="26"/>
          <w:highlight w:val="yellow"/>
        </w:rPr>
        <w:t xml:space="preserve"> с </w:t>
      </w:r>
      <w:r w:rsidR="00A0218A">
        <w:rPr>
          <w:sz w:val="26"/>
          <w:szCs w:val="26"/>
          <w:highlight w:val="yellow"/>
        </w:rPr>
        <w:t>18</w:t>
      </w:r>
      <w:r w:rsidR="00C37308">
        <w:rPr>
          <w:sz w:val="26"/>
          <w:szCs w:val="26"/>
          <w:highlight w:val="yellow"/>
        </w:rPr>
        <w:t>.01.2013</w:t>
      </w:r>
      <w:r w:rsidRPr="0002531E">
        <w:rPr>
          <w:sz w:val="26"/>
          <w:szCs w:val="26"/>
          <w:highlight w:val="yellow"/>
        </w:rPr>
        <w:t xml:space="preserve"> г. по </w:t>
      </w:r>
      <w:r w:rsidR="00C37308">
        <w:rPr>
          <w:sz w:val="26"/>
          <w:szCs w:val="26"/>
          <w:highlight w:val="yellow"/>
        </w:rPr>
        <w:t>24.01.2013</w:t>
      </w:r>
      <w:r w:rsidRPr="0002531E">
        <w:rPr>
          <w:sz w:val="26"/>
          <w:szCs w:val="26"/>
          <w:highlight w:val="yellow"/>
        </w:rPr>
        <w:t xml:space="preserve"> г. включительно</w:t>
      </w:r>
      <w:r>
        <w:rPr>
          <w:sz w:val="26"/>
          <w:szCs w:val="26"/>
        </w:rPr>
        <w:t>.</w:t>
      </w:r>
      <w:r w:rsidRPr="00BD1EED">
        <w:rPr>
          <w:sz w:val="26"/>
          <w:szCs w:val="26"/>
        </w:rPr>
        <w:t xml:space="preserve"> </w:t>
      </w:r>
    </w:p>
    <w:p w:rsidR="000061DA" w:rsidRDefault="000061DA" w:rsidP="000061DA">
      <w:pPr>
        <w:pStyle w:val="ac"/>
        <w:rPr>
          <w:sz w:val="26"/>
          <w:szCs w:val="26"/>
        </w:rPr>
      </w:pPr>
    </w:p>
    <w:p w:rsidR="000061DA" w:rsidRDefault="000061DA" w:rsidP="000061DA">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1F01F8">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C37308">
        <w:rPr>
          <w:color w:val="000000"/>
          <w:sz w:val="26"/>
          <w:szCs w:val="26"/>
          <w:highlight w:val="yellow"/>
        </w:rPr>
        <w:t xml:space="preserve">29.01.2013 </w:t>
      </w:r>
      <w:r w:rsidR="007F110B" w:rsidRPr="001F01F8">
        <w:rPr>
          <w:color w:val="000000"/>
          <w:sz w:val="26"/>
          <w:szCs w:val="26"/>
          <w:highlight w:val="yellow"/>
        </w:rPr>
        <w:t>г.</w:t>
      </w:r>
    </w:p>
    <w:p w:rsidR="00BD1EED" w:rsidRDefault="00BD1EED" w:rsidP="00BD1EED">
      <w:pPr>
        <w:pStyle w:val="ac"/>
        <w:rPr>
          <w:color w:val="000000"/>
          <w:sz w:val="26"/>
          <w:szCs w:val="26"/>
        </w:rPr>
      </w:pPr>
    </w:p>
    <w:p w:rsidR="007F110B" w:rsidRPr="00906F2A" w:rsidRDefault="004256C6" w:rsidP="00C902BF">
      <w:pPr>
        <w:pStyle w:val="3"/>
        <w:numPr>
          <w:ilvl w:val="1"/>
          <w:numId w:val="3"/>
        </w:numPr>
        <w:tabs>
          <w:tab w:val="left" w:pos="993"/>
        </w:tabs>
        <w:spacing w:line="240" w:lineRule="auto"/>
        <w:rPr>
          <w:color w:val="000000"/>
          <w:sz w:val="26"/>
          <w:szCs w:val="26"/>
        </w:rPr>
      </w:pPr>
      <w:r w:rsidRPr="00906F2A">
        <w:rPr>
          <w:color w:val="000000"/>
          <w:sz w:val="26"/>
          <w:szCs w:val="26"/>
        </w:rPr>
        <w:t>Дата подведения итогов:</w:t>
      </w:r>
      <w:r w:rsidR="001F01F8" w:rsidRPr="00906F2A">
        <w:rPr>
          <w:color w:val="000000"/>
          <w:sz w:val="26"/>
          <w:szCs w:val="26"/>
        </w:rPr>
        <w:t xml:space="preserve"> </w:t>
      </w:r>
      <w:r w:rsidR="00C37308">
        <w:rPr>
          <w:color w:val="000000"/>
          <w:sz w:val="26"/>
          <w:szCs w:val="26"/>
          <w:highlight w:val="yellow"/>
        </w:rPr>
        <w:t xml:space="preserve">30.01.2013 </w:t>
      </w:r>
      <w:r w:rsidR="007F110B" w:rsidRPr="00906F2A">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CE5030" w:rsidRDefault="00E41CE8" w:rsidP="00C902BF">
      <w:pPr>
        <w:pStyle w:val="3"/>
        <w:numPr>
          <w:ilvl w:val="0"/>
          <w:numId w:val="3"/>
        </w:numPr>
        <w:spacing w:line="240" w:lineRule="auto"/>
        <w:ind w:left="0" w:firstLine="0"/>
        <w:rPr>
          <w:b/>
          <w:sz w:val="26"/>
          <w:szCs w:val="26"/>
        </w:rPr>
      </w:pPr>
      <w:r w:rsidRPr="00CE5030">
        <w:rPr>
          <w:b/>
          <w:sz w:val="26"/>
          <w:szCs w:val="26"/>
        </w:rPr>
        <w:t>К</w:t>
      </w:r>
      <w:r w:rsidR="00AF0849" w:rsidRPr="00CE5030">
        <w:rPr>
          <w:b/>
          <w:sz w:val="26"/>
          <w:szCs w:val="26"/>
        </w:rPr>
        <w:t xml:space="preserve">ритерии оценки и сопоставления заявок на участие в запросе </w:t>
      </w:r>
      <w:r w:rsidR="0019525F" w:rsidRPr="00CE5030">
        <w:rPr>
          <w:b/>
          <w:sz w:val="26"/>
          <w:szCs w:val="26"/>
        </w:rPr>
        <w:t>предложений</w:t>
      </w:r>
      <w:r w:rsidRPr="00CE5030">
        <w:rPr>
          <w:b/>
          <w:sz w:val="26"/>
          <w:szCs w:val="26"/>
        </w:rPr>
        <w:t>.</w:t>
      </w:r>
    </w:p>
    <w:p w:rsidR="009252C6" w:rsidRPr="00CE5030" w:rsidRDefault="009252C6" w:rsidP="009252C6">
      <w:pPr>
        <w:pStyle w:val="3"/>
        <w:numPr>
          <w:ilvl w:val="0"/>
          <w:numId w:val="0"/>
        </w:numPr>
        <w:spacing w:line="240" w:lineRule="auto"/>
        <w:rPr>
          <w:sz w:val="26"/>
          <w:szCs w:val="26"/>
        </w:rPr>
      </w:pPr>
    </w:p>
    <w:p w:rsidR="005D4B84" w:rsidRPr="00CE5030" w:rsidRDefault="005D4B84" w:rsidP="00C902BF">
      <w:pPr>
        <w:pStyle w:val="3"/>
        <w:numPr>
          <w:ilvl w:val="1"/>
          <w:numId w:val="3"/>
        </w:numPr>
        <w:tabs>
          <w:tab w:val="left" w:pos="993"/>
        </w:tabs>
        <w:spacing w:line="240" w:lineRule="auto"/>
        <w:rPr>
          <w:b/>
          <w:sz w:val="26"/>
          <w:szCs w:val="26"/>
        </w:rPr>
      </w:pPr>
      <w:r w:rsidRPr="00CE5030">
        <w:rPr>
          <w:sz w:val="26"/>
          <w:szCs w:val="26"/>
        </w:rPr>
        <w:t>Критериями</w:t>
      </w:r>
      <w:r w:rsidR="009252C6" w:rsidRPr="00CE5030">
        <w:rPr>
          <w:sz w:val="26"/>
          <w:szCs w:val="26"/>
        </w:rPr>
        <w:t xml:space="preserve"> оце</w:t>
      </w:r>
      <w:r w:rsidRPr="00CE5030">
        <w:rPr>
          <w:sz w:val="26"/>
          <w:szCs w:val="26"/>
        </w:rPr>
        <w:t>нки и сопоставления заявок являю</w:t>
      </w:r>
      <w:r w:rsidR="009252C6" w:rsidRPr="00CE5030">
        <w:rPr>
          <w:sz w:val="26"/>
          <w:szCs w:val="26"/>
        </w:rPr>
        <w:t>тся</w:t>
      </w:r>
      <w:r w:rsidRPr="00CE5030">
        <w:rPr>
          <w:sz w:val="26"/>
          <w:szCs w:val="26"/>
        </w:rPr>
        <w:t>:</w:t>
      </w:r>
    </w:p>
    <w:p w:rsidR="005D4B84" w:rsidRPr="00CE5030" w:rsidRDefault="005D4B84" w:rsidP="005D4B84">
      <w:pPr>
        <w:pStyle w:val="3"/>
        <w:numPr>
          <w:ilvl w:val="0"/>
          <w:numId w:val="0"/>
        </w:numPr>
        <w:tabs>
          <w:tab w:val="left" w:pos="993"/>
        </w:tabs>
        <w:spacing w:line="240" w:lineRule="auto"/>
        <w:ind w:left="792"/>
        <w:rPr>
          <w:b/>
          <w:sz w:val="26"/>
          <w:szCs w:val="26"/>
        </w:rPr>
      </w:pPr>
    </w:p>
    <w:p w:rsidR="003D6EA0" w:rsidRPr="007E3C6B" w:rsidRDefault="003D6EA0" w:rsidP="003D6EA0">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3D6EA0" w:rsidRPr="007E3C6B" w:rsidRDefault="003D6EA0" w:rsidP="003D6EA0">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3D6EA0" w:rsidRPr="007E3C6B" w:rsidRDefault="003D6EA0" w:rsidP="00746534">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опыт работы на рынке </w:t>
      </w:r>
      <w:r w:rsidR="000F1A2A">
        <w:rPr>
          <w:rFonts w:eastAsia="Times New Roman"/>
          <w:snapToGrid w:val="0"/>
          <w:sz w:val="26"/>
          <w:szCs w:val="26"/>
          <w:highlight w:val="yellow"/>
          <w:lang w:eastAsia="ru-RU"/>
        </w:rPr>
        <w:t>охранных</w:t>
      </w:r>
      <w:r>
        <w:rPr>
          <w:rFonts w:eastAsia="Times New Roman"/>
          <w:snapToGrid w:val="0"/>
          <w:sz w:val="26"/>
          <w:szCs w:val="26"/>
          <w:highlight w:val="yellow"/>
          <w:lang w:eastAsia="ru-RU"/>
        </w:rPr>
        <w:t xml:space="preserve"> услуг</w:t>
      </w:r>
      <w:r w:rsidRPr="007E3C6B">
        <w:rPr>
          <w:rFonts w:eastAsia="Times New Roman"/>
          <w:snapToGrid w:val="0"/>
          <w:sz w:val="26"/>
          <w:szCs w:val="26"/>
          <w:highlight w:val="yellow"/>
          <w:lang w:eastAsia="ru-RU"/>
        </w:rPr>
        <w:t>;</w:t>
      </w:r>
    </w:p>
    <w:p w:rsidR="003D6EA0" w:rsidRPr="007E3C6B" w:rsidRDefault="003D6EA0" w:rsidP="00746534">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5D4B84" w:rsidRPr="00D5323B" w:rsidRDefault="005D4B84" w:rsidP="009252C6">
      <w:pPr>
        <w:pStyle w:val="3"/>
        <w:numPr>
          <w:ilvl w:val="0"/>
          <w:numId w:val="0"/>
        </w:numPr>
        <w:spacing w:line="240" w:lineRule="auto"/>
        <w:rPr>
          <w:b/>
          <w:sz w:val="26"/>
          <w:szCs w:val="26"/>
          <w:highlight w:val="yellow"/>
        </w:rPr>
      </w:pPr>
    </w:p>
    <w:p w:rsidR="00AF0849" w:rsidRPr="009B06C7" w:rsidRDefault="00E41CE8" w:rsidP="00C902BF">
      <w:pPr>
        <w:pStyle w:val="3"/>
        <w:numPr>
          <w:ilvl w:val="0"/>
          <w:numId w:val="3"/>
        </w:numPr>
        <w:spacing w:line="240" w:lineRule="auto"/>
        <w:ind w:left="0" w:firstLine="0"/>
        <w:rPr>
          <w:b/>
          <w:sz w:val="26"/>
          <w:szCs w:val="26"/>
        </w:rPr>
      </w:pPr>
      <w:r w:rsidRPr="009B06C7">
        <w:rPr>
          <w:b/>
          <w:sz w:val="26"/>
          <w:szCs w:val="26"/>
        </w:rPr>
        <w:t>П</w:t>
      </w:r>
      <w:r w:rsidR="00AF0849" w:rsidRPr="009B06C7">
        <w:rPr>
          <w:b/>
          <w:sz w:val="26"/>
          <w:szCs w:val="26"/>
        </w:rPr>
        <w:t xml:space="preserve">орядок оценки и сопоставления заявок на участие в запросе </w:t>
      </w:r>
      <w:r w:rsidR="0019525F" w:rsidRPr="009B06C7">
        <w:rPr>
          <w:b/>
          <w:sz w:val="26"/>
          <w:szCs w:val="26"/>
        </w:rPr>
        <w:t>предложений</w:t>
      </w:r>
      <w:r w:rsidRPr="009B06C7">
        <w:rPr>
          <w:b/>
          <w:sz w:val="26"/>
          <w:szCs w:val="26"/>
        </w:rPr>
        <w:t>.</w:t>
      </w:r>
    </w:p>
    <w:p w:rsidR="00AD3ED8" w:rsidRPr="009B06C7" w:rsidRDefault="00AD3ED8" w:rsidP="00AD3ED8">
      <w:pPr>
        <w:pStyle w:val="a8"/>
        <w:spacing w:before="0" w:line="240" w:lineRule="auto"/>
        <w:rPr>
          <w:sz w:val="26"/>
          <w:szCs w:val="26"/>
        </w:rPr>
      </w:pPr>
    </w:p>
    <w:p w:rsidR="00AD3ED8" w:rsidRPr="009B06C7" w:rsidRDefault="00E84A3B" w:rsidP="00C902BF">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AD3ED8" w:rsidRPr="00E84A3B">
        <w:rPr>
          <w:sz w:val="26"/>
          <w:szCs w:val="26"/>
          <w:highlight w:val="yellow"/>
        </w:rPr>
        <w:t xml:space="preserve"> </w:t>
      </w:r>
      <w:r w:rsidR="00FF187F">
        <w:rPr>
          <w:sz w:val="26"/>
          <w:szCs w:val="26"/>
          <w:highlight w:val="yellow"/>
        </w:rPr>
        <w:t xml:space="preserve">2 (двух) </w:t>
      </w:r>
      <w:r w:rsidR="008E4564">
        <w:rPr>
          <w:sz w:val="26"/>
          <w:szCs w:val="26"/>
          <w:highlight w:val="yellow"/>
        </w:rPr>
        <w:t xml:space="preserve"> </w:t>
      </w:r>
      <w:r w:rsidR="004256C6" w:rsidRPr="00E84A3B">
        <w:rPr>
          <w:sz w:val="26"/>
          <w:szCs w:val="26"/>
          <w:highlight w:val="yellow"/>
        </w:rPr>
        <w:t xml:space="preserve">рабочих </w:t>
      </w:r>
      <w:r w:rsidR="00AD3ED8" w:rsidRPr="00E84A3B">
        <w:rPr>
          <w:sz w:val="26"/>
          <w:szCs w:val="26"/>
          <w:highlight w:val="yellow"/>
        </w:rPr>
        <w:t>дней</w:t>
      </w:r>
      <w:r w:rsidR="00AD3ED8" w:rsidRPr="009B06C7">
        <w:rPr>
          <w:sz w:val="26"/>
          <w:szCs w:val="26"/>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9B06C7" w:rsidRDefault="009252C6" w:rsidP="00AD3ED8">
      <w:pPr>
        <w:pStyle w:val="a8"/>
        <w:spacing w:before="0" w:line="240" w:lineRule="auto"/>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 рассматривает заявки на участие в запросе предложений на</w:t>
      </w:r>
      <w:r w:rsidRPr="009B06C7">
        <w:rPr>
          <w:sz w:val="26"/>
          <w:szCs w:val="26"/>
        </w:rPr>
        <w:br/>
        <w:t>соответствие следующим требованиям:</w:t>
      </w:r>
    </w:p>
    <w:p w:rsidR="003B33FA" w:rsidRPr="009B06C7" w:rsidRDefault="003B33FA" w:rsidP="003B33FA">
      <w:pPr>
        <w:pStyle w:val="ac"/>
        <w:rPr>
          <w:sz w:val="26"/>
          <w:szCs w:val="26"/>
        </w:rPr>
      </w:pP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наличие документов, определенных документацией;</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соответствие предмета заявки предмету запроса предложений, указанному в документации;</w:t>
      </w:r>
    </w:p>
    <w:p w:rsidR="00321DB9" w:rsidRPr="009B06C7" w:rsidRDefault="002C765A" w:rsidP="00C902BF">
      <w:pPr>
        <w:pStyle w:val="3"/>
        <w:numPr>
          <w:ilvl w:val="0"/>
          <w:numId w:val="6"/>
        </w:numPr>
        <w:tabs>
          <w:tab w:val="left" w:pos="993"/>
        </w:tabs>
        <w:spacing w:line="240" w:lineRule="auto"/>
        <w:ind w:left="851" w:firstLine="0"/>
        <w:rPr>
          <w:sz w:val="26"/>
          <w:szCs w:val="26"/>
        </w:rPr>
      </w:pPr>
      <w:r>
        <w:rPr>
          <w:sz w:val="26"/>
          <w:szCs w:val="26"/>
        </w:rPr>
        <w:t>соответствие</w:t>
      </w:r>
      <w:r w:rsidR="00321DB9" w:rsidRPr="009B06C7">
        <w:rPr>
          <w:sz w:val="26"/>
          <w:szCs w:val="26"/>
        </w:rPr>
        <w:t xml:space="preserve"> предложения по цене договора, содержащегося в заявке на участие в запросе предложений, </w:t>
      </w:r>
      <w:r>
        <w:rPr>
          <w:sz w:val="26"/>
          <w:szCs w:val="26"/>
        </w:rPr>
        <w:t>начальной (максимальной) цене</w:t>
      </w:r>
      <w:r w:rsidR="00321DB9" w:rsidRPr="009B06C7">
        <w:rPr>
          <w:sz w:val="26"/>
          <w:szCs w:val="26"/>
        </w:rPr>
        <w:t xml:space="preserve"> </w:t>
      </w:r>
      <w:r>
        <w:rPr>
          <w:sz w:val="26"/>
          <w:szCs w:val="26"/>
        </w:rPr>
        <w:t>договора, указанной в документации о запросе</w:t>
      </w:r>
      <w:r w:rsidR="00321DB9" w:rsidRPr="009B06C7">
        <w:rPr>
          <w:sz w:val="26"/>
          <w:szCs w:val="26"/>
        </w:rPr>
        <w:t xml:space="preserve"> предложений, </w:t>
      </w:r>
      <w:r w:rsidR="00696F51">
        <w:rPr>
          <w:sz w:val="26"/>
          <w:szCs w:val="26"/>
        </w:rPr>
        <w:t>а также других критериев</w:t>
      </w:r>
      <w:r w:rsidR="00321DB9" w:rsidRPr="009B06C7">
        <w:rPr>
          <w:sz w:val="26"/>
          <w:szCs w:val="26"/>
        </w:rPr>
        <w:t>.</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9B06C7" w:rsidRDefault="008B79F6" w:rsidP="008B79F6">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w:t>
      </w:r>
      <w:r w:rsidR="000C1F8C" w:rsidRPr="009B06C7">
        <w:rPr>
          <w:sz w:val="26"/>
          <w:szCs w:val="26"/>
        </w:rPr>
        <w:t>участником запроса предложений</w:t>
      </w:r>
      <w:r w:rsidRPr="009B06C7">
        <w:rPr>
          <w:sz w:val="26"/>
          <w:szCs w:val="26"/>
        </w:rPr>
        <w:t xml:space="preserve"> в соответствии с настоящим Положением, установления факта проведения ликвидации </w:t>
      </w:r>
      <w:r w:rsidR="000C1F8C" w:rsidRPr="009B06C7">
        <w:rPr>
          <w:sz w:val="26"/>
          <w:szCs w:val="26"/>
        </w:rPr>
        <w:t>участника запроса предложений</w:t>
      </w:r>
      <w:r w:rsidRPr="009B06C7">
        <w:rPr>
          <w:sz w:val="26"/>
          <w:szCs w:val="26"/>
        </w:rPr>
        <w:t xml:space="preserve"> юридического лица или принятия арбитражным судом решения о признании </w:t>
      </w:r>
      <w:r w:rsidR="000C1F8C" w:rsidRPr="009B06C7">
        <w:rPr>
          <w:sz w:val="26"/>
          <w:szCs w:val="26"/>
        </w:rPr>
        <w:t>участника запроса предложений</w:t>
      </w:r>
      <w:r w:rsidRPr="009B06C7">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w:t>
      </w:r>
      <w:proofErr w:type="gramEnd"/>
      <w:r w:rsidRPr="009B06C7">
        <w:rPr>
          <w:sz w:val="26"/>
          <w:szCs w:val="26"/>
        </w:rPr>
        <w:t xml:space="preserve">, </w:t>
      </w:r>
      <w:proofErr w:type="gramStart"/>
      <w:r w:rsidRPr="009B06C7">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9B06C7">
        <w:rPr>
          <w:sz w:val="26"/>
          <w:szCs w:val="26"/>
        </w:rPr>
        <w:t>участник запроса предложений</w:t>
      </w:r>
      <w:r w:rsidRPr="009B06C7">
        <w:rPr>
          <w:sz w:val="26"/>
          <w:szCs w:val="26"/>
        </w:rPr>
        <w:t xml:space="preserve"> не обжалует наличие указанной задолженности в соответствии с</w:t>
      </w:r>
      <w:proofErr w:type="gramEnd"/>
      <w:r w:rsidRPr="009B06C7">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9B06C7" w:rsidRDefault="00321DB9" w:rsidP="003B33FA">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w:t>
      </w:r>
      <w:r w:rsidR="002C765A" w:rsidRPr="009B06C7">
        <w:rPr>
          <w:sz w:val="26"/>
          <w:szCs w:val="26"/>
        </w:rPr>
        <w:t>документов, определенных документацией</w:t>
      </w:r>
      <w:r w:rsidRPr="009B06C7">
        <w:rPr>
          <w:sz w:val="26"/>
          <w:szCs w:val="26"/>
        </w:rPr>
        <w:t xml:space="preserve">, либо наличия в таких документах недостоверных сведений об участнике или о товарах, о работах, об услугах; </w:t>
      </w:r>
    </w:p>
    <w:p w:rsidR="00935DAE" w:rsidRDefault="00935DAE" w:rsidP="00C902BF">
      <w:pPr>
        <w:pStyle w:val="3"/>
        <w:numPr>
          <w:ilvl w:val="0"/>
          <w:numId w:val="7"/>
        </w:numPr>
        <w:tabs>
          <w:tab w:val="left" w:pos="993"/>
        </w:tabs>
        <w:spacing w:line="240" w:lineRule="auto"/>
        <w:rPr>
          <w:sz w:val="26"/>
          <w:szCs w:val="26"/>
        </w:rPr>
      </w:pPr>
      <w:r w:rsidRPr="009B06C7">
        <w:rPr>
          <w:sz w:val="26"/>
          <w:szCs w:val="26"/>
        </w:rPr>
        <w:t>несоответствия требованиям, установленным документацией к участникам запроса предложений;</w:t>
      </w:r>
    </w:p>
    <w:p w:rsidR="002C765A" w:rsidRPr="009B06C7" w:rsidRDefault="00935DAE" w:rsidP="002C765A">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документации о запросе предложений, в том числе наличие в таких заявках предложения о цене договора, </w:t>
      </w:r>
      <w:r w:rsidR="00A57ED5">
        <w:rPr>
          <w:sz w:val="26"/>
          <w:szCs w:val="26"/>
        </w:rPr>
        <w:t>не соответствующего</w:t>
      </w:r>
      <w:r w:rsidR="00F27672" w:rsidRPr="00A57ED5">
        <w:rPr>
          <w:sz w:val="26"/>
          <w:szCs w:val="26"/>
        </w:rPr>
        <w:t xml:space="preserve"> </w:t>
      </w:r>
      <w:r w:rsidR="00A57ED5">
        <w:rPr>
          <w:sz w:val="26"/>
          <w:szCs w:val="26"/>
        </w:rPr>
        <w:t xml:space="preserve">начальной (максимальной) </w:t>
      </w:r>
      <w:r w:rsidR="00F27672" w:rsidRPr="00A57ED5">
        <w:rPr>
          <w:sz w:val="26"/>
          <w:szCs w:val="26"/>
        </w:rPr>
        <w:t xml:space="preserve"> цене </w:t>
      </w:r>
      <w:r w:rsidR="00A57ED5">
        <w:rPr>
          <w:sz w:val="26"/>
          <w:szCs w:val="26"/>
        </w:rPr>
        <w:t>договора</w:t>
      </w:r>
      <w:r w:rsidR="002C765A">
        <w:rPr>
          <w:sz w:val="26"/>
          <w:szCs w:val="26"/>
        </w:rPr>
        <w:t>, а также других критериев</w:t>
      </w:r>
      <w:r w:rsidR="002C765A" w:rsidRPr="009B06C7">
        <w:rPr>
          <w:sz w:val="26"/>
          <w:szCs w:val="26"/>
        </w:rPr>
        <w:t>.</w:t>
      </w:r>
    </w:p>
    <w:p w:rsidR="00F27672" w:rsidRPr="00A57ED5" w:rsidRDefault="00F27672" w:rsidP="002C765A">
      <w:pPr>
        <w:pStyle w:val="3"/>
        <w:numPr>
          <w:ilvl w:val="0"/>
          <w:numId w:val="0"/>
        </w:numPr>
        <w:tabs>
          <w:tab w:val="left" w:pos="993"/>
        </w:tabs>
        <w:spacing w:line="240" w:lineRule="auto"/>
        <w:ind w:left="1512"/>
        <w:rPr>
          <w:sz w:val="26"/>
          <w:szCs w:val="26"/>
        </w:rPr>
      </w:pPr>
    </w:p>
    <w:p w:rsidR="00AD3ED8" w:rsidRPr="009B06C7" w:rsidRDefault="009252C6" w:rsidP="00C902BF">
      <w:pPr>
        <w:pStyle w:val="3"/>
        <w:numPr>
          <w:ilvl w:val="1"/>
          <w:numId w:val="3"/>
        </w:numPr>
        <w:tabs>
          <w:tab w:val="left" w:pos="993"/>
        </w:tabs>
        <w:spacing w:line="240" w:lineRule="auto"/>
        <w:rPr>
          <w:sz w:val="26"/>
          <w:szCs w:val="26"/>
        </w:rPr>
      </w:pPr>
      <w:r w:rsidRPr="009B06C7">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9B06C7">
        <w:rPr>
          <w:sz w:val="26"/>
          <w:szCs w:val="26"/>
        </w:rPr>
        <w:t>и, определенные</w:t>
      </w:r>
      <w:r w:rsidRPr="009B06C7">
        <w:rPr>
          <w:sz w:val="26"/>
          <w:szCs w:val="26"/>
        </w:rPr>
        <w:t xml:space="preserve"> настоящей документацией.</w:t>
      </w:r>
    </w:p>
    <w:p w:rsidR="009252C6" w:rsidRPr="009B06C7" w:rsidRDefault="009252C6" w:rsidP="003B33FA">
      <w:pPr>
        <w:pStyle w:val="3"/>
        <w:numPr>
          <w:ilvl w:val="0"/>
          <w:numId w:val="0"/>
        </w:numPr>
        <w:tabs>
          <w:tab w:val="left" w:pos="993"/>
        </w:tabs>
        <w:spacing w:line="240" w:lineRule="auto"/>
        <w:ind w:left="792"/>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9B06C7" w:rsidRDefault="007A5F6F" w:rsidP="007A5F6F">
      <w:pPr>
        <w:autoSpaceDE w:val="0"/>
        <w:autoSpaceDN w:val="0"/>
        <w:adjustRightInd w:val="0"/>
        <w:spacing w:line="240" w:lineRule="auto"/>
        <w:ind w:left="720"/>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sidR="001F01F8">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9B06C7" w:rsidRDefault="007A5F6F" w:rsidP="007A5F6F">
      <w:pPr>
        <w:pStyle w:val="ac"/>
      </w:pPr>
    </w:p>
    <w:p w:rsidR="007A5F6F" w:rsidRDefault="007A5F6F" w:rsidP="007A5F6F">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3D6EA0" w:rsidRDefault="003D6EA0" w:rsidP="003D6EA0">
      <w:pPr>
        <w:pStyle w:val="ac"/>
        <w:rPr>
          <w:sz w:val="26"/>
          <w:szCs w:val="26"/>
        </w:rPr>
      </w:pPr>
    </w:p>
    <w:p w:rsidR="003D6EA0" w:rsidRDefault="003D6EA0" w:rsidP="003D6EA0">
      <w:pPr>
        <w:pStyle w:val="3"/>
        <w:numPr>
          <w:ilvl w:val="0"/>
          <w:numId w:val="0"/>
        </w:numPr>
        <w:tabs>
          <w:tab w:val="left" w:pos="993"/>
        </w:tabs>
        <w:spacing w:line="240" w:lineRule="auto"/>
        <w:ind w:left="792"/>
        <w:rPr>
          <w:sz w:val="26"/>
          <w:szCs w:val="26"/>
        </w:rPr>
      </w:pPr>
    </w:p>
    <w:tbl>
      <w:tblPr>
        <w:tblpPr w:leftFromText="180" w:rightFromText="180" w:vertAnchor="text" w:horzAnchor="margin" w:tblpX="432" w:tblpY="109"/>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119"/>
        <w:gridCol w:w="3685"/>
        <w:gridCol w:w="1408"/>
      </w:tblGrid>
      <w:tr w:rsidR="003D6EA0" w:rsidRPr="003D6EA0" w:rsidTr="003D6EA0">
        <w:trPr>
          <w:tblHeader/>
        </w:trPr>
        <w:tc>
          <w:tcPr>
            <w:tcW w:w="743"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72" w:firstLine="0"/>
              <w:jc w:val="center"/>
              <w:rPr>
                <w:b/>
                <w:sz w:val="20"/>
              </w:rPr>
            </w:pPr>
            <w:r w:rsidRPr="003D6EA0">
              <w:rPr>
                <w:b/>
                <w:sz w:val="20"/>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 xml:space="preserve">Критерии оценки </w:t>
            </w:r>
            <w:r w:rsidRPr="003D6EA0">
              <w:rPr>
                <w:b/>
                <w:sz w:val="20"/>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Значимость критерия в процентах</w:t>
            </w:r>
          </w:p>
        </w:tc>
      </w:tr>
      <w:tr w:rsidR="003D6EA0" w:rsidRPr="003D6EA0" w:rsidTr="003D6EA0">
        <w:trPr>
          <w:trHeight w:val="843"/>
        </w:trPr>
        <w:tc>
          <w:tcPr>
            <w:tcW w:w="743"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1.</w:t>
            </w:r>
          </w:p>
        </w:tc>
        <w:tc>
          <w:tcPr>
            <w:tcW w:w="3119"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 xml:space="preserve">Цена договора </w:t>
            </w:r>
          </w:p>
        </w:tc>
        <w:tc>
          <w:tcPr>
            <w:tcW w:w="3685" w:type="dxa"/>
            <w:tcBorders>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 xml:space="preserve">Начальная цена договора  </w:t>
            </w:r>
          </w:p>
        </w:tc>
        <w:tc>
          <w:tcPr>
            <w:tcW w:w="1408" w:type="dxa"/>
            <w:tcBorders>
              <w:left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70%</w:t>
            </w:r>
          </w:p>
        </w:tc>
      </w:tr>
      <w:tr w:rsidR="003D6EA0" w:rsidRPr="003D6EA0" w:rsidTr="003D6EA0">
        <w:trPr>
          <w:trHeight w:val="422"/>
        </w:trPr>
        <w:tc>
          <w:tcPr>
            <w:tcW w:w="743"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w:t>
            </w:r>
          </w:p>
        </w:tc>
        <w:tc>
          <w:tcPr>
            <w:tcW w:w="3119"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Квалификация участника</w:t>
            </w:r>
          </w:p>
        </w:tc>
        <w:tc>
          <w:tcPr>
            <w:tcW w:w="3685" w:type="dxa"/>
            <w:tcBorders>
              <w:left w:val="single" w:sz="4" w:space="0" w:color="auto"/>
              <w:right w:val="single" w:sz="4" w:space="0" w:color="auto"/>
            </w:tcBorders>
          </w:tcPr>
          <w:p w:rsidR="003D6EA0" w:rsidRPr="003D6EA0" w:rsidRDefault="003D6EA0" w:rsidP="003D6EA0">
            <w:pPr>
              <w:pStyle w:val="af6"/>
              <w:tabs>
                <w:tab w:val="clear" w:pos="1985"/>
              </w:tabs>
              <w:ind w:left="0" w:firstLine="34"/>
              <w:rPr>
                <w:sz w:val="22"/>
                <w:szCs w:val="22"/>
              </w:rPr>
            </w:pPr>
          </w:p>
        </w:tc>
        <w:tc>
          <w:tcPr>
            <w:tcW w:w="1408" w:type="dxa"/>
            <w:tcBorders>
              <w:left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30%</w:t>
            </w:r>
          </w:p>
        </w:tc>
      </w:tr>
      <w:tr w:rsidR="003D6EA0" w:rsidRPr="003D6EA0" w:rsidTr="003D6EA0">
        <w:trPr>
          <w:trHeight w:val="461"/>
        </w:trPr>
        <w:tc>
          <w:tcPr>
            <w:tcW w:w="743"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2.1.</w:t>
            </w:r>
          </w:p>
        </w:tc>
        <w:tc>
          <w:tcPr>
            <w:tcW w:w="3119" w:type="dxa"/>
            <w:tcBorders>
              <w:top w:val="single" w:sz="4" w:space="0" w:color="auto"/>
              <w:left w:val="single" w:sz="4" w:space="0" w:color="auto"/>
              <w:bottom w:val="single" w:sz="4" w:space="0" w:color="auto"/>
              <w:right w:val="single" w:sz="4" w:space="0" w:color="auto"/>
            </w:tcBorders>
          </w:tcPr>
          <w:p w:rsidR="003D6EA0" w:rsidRPr="003D6EA0" w:rsidRDefault="003D6EA0" w:rsidP="00C02128">
            <w:pPr>
              <w:pStyle w:val="af6"/>
              <w:tabs>
                <w:tab w:val="clear" w:pos="1985"/>
              </w:tabs>
              <w:ind w:left="0" w:hanging="3"/>
              <w:rPr>
                <w:sz w:val="22"/>
                <w:szCs w:val="22"/>
              </w:rPr>
            </w:pPr>
            <w:r w:rsidRPr="003D6EA0">
              <w:rPr>
                <w:sz w:val="22"/>
                <w:szCs w:val="22"/>
              </w:rPr>
              <w:t xml:space="preserve">Опыт работы на рынке </w:t>
            </w:r>
            <w:r w:rsidR="00C02128">
              <w:rPr>
                <w:sz w:val="22"/>
                <w:szCs w:val="22"/>
              </w:rPr>
              <w:t>охранных</w:t>
            </w:r>
            <w:r w:rsidRPr="003D6EA0">
              <w:rPr>
                <w:sz w:val="22"/>
                <w:szCs w:val="22"/>
              </w:rPr>
              <w:t xml:space="preserve"> услуг</w:t>
            </w:r>
          </w:p>
        </w:tc>
        <w:tc>
          <w:tcPr>
            <w:tcW w:w="3685"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ind w:left="0" w:firstLine="0"/>
              <w:rPr>
                <w:sz w:val="22"/>
                <w:szCs w:val="22"/>
              </w:rPr>
            </w:pPr>
            <w:r w:rsidRPr="003D6EA0">
              <w:rPr>
                <w:sz w:val="22"/>
                <w:szCs w:val="22"/>
              </w:rPr>
              <w:t>«больше 10 лет» - 10 баллов;</w:t>
            </w:r>
          </w:p>
          <w:p w:rsidR="003D6EA0" w:rsidRPr="003D6EA0" w:rsidRDefault="003D6EA0" w:rsidP="003D6EA0">
            <w:pPr>
              <w:pStyle w:val="af6"/>
              <w:ind w:left="0" w:firstLine="0"/>
              <w:rPr>
                <w:sz w:val="22"/>
                <w:szCs w:val="22"/>
              </w:rPr>
            </w:pPr>
            <w:r w:rsidRPr="003D6EA0">
              <w:rPr>
                <w:sz w:val="22"/>
                <w:szCs w:val="22"/>
              </w:rPr>
              <w:t xml:space="preserve"> «от 5 до 10 лет» - 7 баллов;</w:t>
            </w:r>
          </w:p>
          <w:p w:rsidR="003D6EA0" w:rsidRPr="003D6EA0" w:rsidRDefault="003D6EA0" w:rsidP="003D6EA0">
            <w:pPr>
              <w:pStyle w:val="af6"/>
              <w:ind w:left="0" w:firstLine="0"/>
              <w:rPr>
                <w:sz w:val="22"/>
                <w:szCs w:val="22"/>
              </w:rPr>
            </w:pPr>
            <w:r w:rsidRPr="003D6EA0">
              <w:rPr>
                <w:sz w:val="22"/>
                <w:szCs w:val="22"/>
              </w:rPr>
              <w:t>«от</w:t>
            </w:r>
            <w:r w:rsidR="00C02128">
              <w:rPr>
                <w:sz w:val="22"/>
                <w:szCs w:val="22"/>
              </w:rPr>
              <w:t xml:space="preserve"> 0</w:t>
            </w:r>
            <w:r w:rsidRPr="003D6EA0">
              <w:rPr>
                <w:sz w:val="22"/>
                <w:szCs w:val="22"/>
              </w:rPr>
              <w:t xml:space="preserve"> до 5 лет» - 3 балла.</w:t>
            </w:r>
          </w:p>
          <w:p w:rsidR="003D6EA0" w:rsidRPr="003D6EA0" w:rsidRDefault="003D6EA0" w:rsidP="003D6EA0">
            <w:pPr>
              <w:pStyle w:val="af6"/>
              <w:ind w:left="0" w:firstLine="0"/>
              <w:rPr>
                <w:sz w:val="22"/>
                <w:szCs w:val="22"/>
              </w:rPr>
            </w:pPr>
          </w:p>
        </w:tc>
        <w:tc>
          <w:tcPr>
            <w:tcW w:w="1408"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15%</w:t>
            </w:r>
          </w:p>
        </w:tc>
      </w:tr>
      <w:tr w:rsidR="003D6EA0" w:rsidRPr="003D6EA0" w:rsidTr="003D6EA0">
        <w:trPr>
          <w:trHeight w:val="461"/>
        </w:trPr>
        <w:tc>
          <w:tcPr>
            <w:tcW w:w="743"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2.2.</w:t>
            </w:r>
          </w:p>
        </w:tc>
        <w:tc>
          <w:tcPr>
            <w:tcW w:w="3119" w:type="dxa"/>
            <w:tcBorders>
              <w:top w:val="single" w:sz="4" w:space="0" w:color="auto"/>
              <w:left w:val="single" w:sz="4" w:space="0" w:color="auto"/>
              <w:bottom w:val="single" w:sz="4" w:space="0" w:color="auto"/>
              <w:right w:val="single" w:sz="4" w:space="0" w:color="auto"/>
            </w:tcBorders>
          </w:tcPr>
          <w:p w:rsidR="003D6EA0" w:rsidRPr="003D6EA0" w:rsidRDefault="003D6EA0" w:rsidP="00C02128">
            <w:pPr>
              <w:pStyle w:val="af6"/>
              <w:tabs>
                <w:tab w:val="clear" w:pos="1985"/>
              </w:tabs>
              <w:ind w:left="0" w:hanging="3"/>
              <w:rPr>
                <w:sz w:val="22"/>
                <w:szCs w:val="22"/>
              </w:rPr>
            </w:pPr>
            <w:r w:rsidRPr="003D6EA0">
              <w:rPr>
                <w:sz w:val="22"/>
                <w:szCs w:val="22"/>
              </w:rPr>
              <w:t xml:space="preserve">Деловая  репутация </w:t>
            </w:r>
          </w:p>
        </w:tc>
        <w:tc>
          <w:tcPr>
            <w:tcW w:w="3685"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ind w:left="0" w:firstLine="0"/>
              <w:rPr>
                <w:sz w:val="22"/>
                <w:szCs w:val="22"/>
              </w:rPr>
            </w:pPr>
            <w:r w:rsidRPr="003D6EA0">
              <w:rPr>
                <w:sz w:val="22"/>
                <w:szCs w:val="22"/>
              </w:rPr>
              <w:t>Более 3 (трех) положительных рекомендаций – 10 баллов;</w:t>
            </w:r>
          </w:p>
          <w:p w:rsidR="003D6EA0" w:rsidRPr="003D6EA0" w:rsidRDefault="003D6EA0" w:rsidP="003D6EA0">
            <w:pPr>
              <w:pStyle w:val="af6"/>
              <w:ind w:left="0" w:firstLine="0"/>
              <w:rPr>
                <w:sz w:val="22"/>
                <w:szCs w:val="22"/>
              </w:rPr>
            </w:pPr>
            <w:r w:rsidRPr="003D6EA0">
              <w:rPr>
                <w:sz w:val="22"/>
                <w:szCs w:val="22"/>
              </w:rPr>
              <w:t>Отсутствие  или менее 3 (трех) положит</w:t>
            </w:r>
            <w:r w:rsidR="00C02128">
              <w:rPr>
                <w:sz w:val="22"/>
                <w:szCs w:val="22"/>
              </w:rPr>
              <w:t>ельных рекомендаций  – 0 баллов.</w:t>
            </w:r>
          </w:p>
          <w:p w:rsidR="003D6EA0" w:rsidRPr="003D6EA0" w:rsidRDefault="003D6EA0" w:rsidP="003D6EA0">
            <w:pPr>
              <w:pStyle w:val="af6"/>
              <w:ind w:left="0" w:firstLine="0"/>
              <w:rPr>
                <w:sz w:val="22"/>
                <w:szCs w:val="22"/>
              </w:rPr>
            </w:pPr>
          </w:p>
        </w:tc>
        <w:tc>
          <w:tcPr>
            <w:tcW w:w="1408"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15%</w:t>
            </w:r>
          </w:p>
        </w:tc>
      </w:tr>
    </w:tbl>
    <w:p w:rsidR="00D4063E" w:rsidRPr="003D6EA0" w:rsidRDefault="00D4063E" w:rsidP="00D4063E">
      <w:pPr>
        <w:pStyle w:val="3"/>
        <w:numPr>
          <w:ilvl w:val="0"/>
          <w:numId w:val="0"/>
        </w:numPr>
        <w:tabs>
          <w:tab w:val="left" w:pos="993"/>
        </w:tabs>
        <w:spacing w:line="240" w:lineRule="auto"/>
        <w:ind w:left="1701" w:hanging="567"/>
        <w:rPr>
          <w:sz w:val="22"/>
          <w:szCs w:val="22"/>
        </w:rPr>
      </w:pPr>
    </w:p>
    <w:p w:rsidR="007A5F6F" w:rsidRDefault="007A5F6F" w:rsidP="007A5F6F">
      <w:pPr>
        <w:pStyle w:val="ac"/>
      </w:pPr>
    </w:p>
    <w:p w:rsidR="003D6EA0" w:rsidRPr="00B96CCF" w:rsidRDefault="003D6EA0" w:rsidP="007A5F6F">
      <w:pPr>
        <w:pStyle w:val="ac"/>
      </w:pPr>
    </w:p>
    <w:p w:rsidR="003D6EA0" w:rsidRPr="007E3C6B" w:rsidRDefault="003D6EA0" w:rsidP="003D6EA0">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B24F71" w:rsidP="003D6EA0">
      <w:pPr>
        <w:pStyle w:val="3"/>
        <w:numPr>
          <w:ilvl w:val="0"/>
          <w:numId w:val="0"/>
        </w:numPr>
        <w:tabs>
          <w:tab w:val="left" w:pos="993"/>
        </w:tabs>
        <w:spacing w:line="240" w:lineRule="auto"/>
        <w:ind w:left="792"/>
        <w:rPr>
          <w:sz w:val="26"/>
          <w:szCs w:val="26"/>
        </w:rPr>
      </w:pPr>
      <m:oMathPara>
        <m:oMath>
          <m:sSub>
            <m:sSubPr>
              <m:ctrlPr>
                <w:rPr>
                  <w:rFonts w:ascii="Cambria Math" w:hAnsi="Cambria Math"/>
                  <w:sz w:val="26"/>
                  <w:szCs w:val="26"/>
                </w:rPr>
              </m:ctrlPr>
            </m:sSubPr>
            <m:e>
              <m:r>
                <m:rPr>
                  <m:sty m:val="p"/>
                </m:rPr>
                <w:rPr>
                  <w:rFonts w:ascii="Cambria Math" w:hAnsi="Cambria Math"/>
                  <w:sz w:val="26"/>
                  <w:szCs w:val="26"/>
                </w:rPr>
                <m:t>Ra</m:t>
              </m:r>
            </m:e>
            <m:sub>
              <m:r>
                <m:rPr>
                  <m:sty m:val="p"/>
                </m:rPr>
                <w:rPr>
                  <w:rFonts w:ascii="Cambria Math" w:hAnsi="Cambria Math"/>
                  <w:sz w:val="26"/>
                  <w:szCs w:val="26"/>
                </w:rPr>
                <m:t>i</m:t>
              </m:r>
            </m:sub>
          </m:sSub>
          <m:r>
            <m:rPr>
              <m:sty m:val="p"/>
            </m:rPr>
            <w:rPr>
              <w:rFonts w:ascii="Cambria Math" w:hAnsi="Cambria Math"/>
              <w:sz w:val="26"/>
              <w:szCs w:val="26"/>
            </w:rPr>
            <m:t>=</m:t>
          </m:r>
          <m:f>
            <m:fPr>
              <m:ctrlPr>
                <w:rPr>
                  <w:rFonts w:ascii="Cambria Math" w:hAnsi="Cambria Math"/>
                  <w:sz w:val="26"/>
                  <w:szCs w:val="26"/>
                </w:rPr>
              </m:ctrlPr>
            </m:fPr>
            <m:num>
              <m:sSub>
                <m:sSubPr>
                  <m:ctrlPr>
                    <w:rPr>
                      <w:rFonts w:ascii="Cambria Math" w:hAnsi="Cambria Math"/>
                      <w:sz w:val="26"/>
                      <w:szCs w:val="26"/>
                    </w:rPr>
                  </m:ctrlPr>
                </m:sSubPr>
                <m:e>
                  <m:r>
                    <m:rPr>
                      <m:sty m:val="p"/>
                    </m:rPr>
                    <w:rPr>
                      <w:rFonts w:ascii="Cambria Math" w:hAnsi="Cambria Math"/>
                      <w:sz w:val="26"/>
                      <w:szCs w:val="26"/>
                    </w:rPr>
                    <m:t>А</m:t>
                  </m:r>
                </m:e>
                <m:sub>
                  <m:r>
                    <m:rPr>
                      <m:sty m:val="p"/>
                    </m:rPr>
                    <w:rPr>
                      <w:rFonts w:ascii="Cambria Math" w:hAnsi="Cambria Math"/>
                      <w:sz w:val="26"/>
                      <w:szCs w:val="26"/>
                    </w:rPr>
                    <m:t>max</m:t>
                  </m:r>
                </m:sub>
              </m:sSub>
              <m:r>
                <m:rPr>
                  <m:sty m:val="p"/>
                </m:rPr>
                <w:rPr>
                  <w:rFonts w:ascii="Cambria Math" w:hAnsi="Cambria Math"/>
                  <w:sz w:val="26"/>
                  <w:szCs w:val="26"/>
                </w:rPr>
                <m:t>-</m:t>
              </m:r>
              <m:sSub>
                <m:sSubPr>
                  <m:ctrlPr>
                    <w:rPr>
                      <w:rFonts w:ascii="Cambria Math" w:hAnsi="Cambria Math"/>
                      <w:sz w:val="26"/>
                      <w:szCs w:val="26"/>
                    </w:rPr>
                  </m:ctrlPr>
                </m:sSubPr>
                <m:e>
                  <m:r>
                    <m:rPr>
                      <m:sty m:val="p"/>
                    </m:rPr>
                    <w:rPr>
                      <w:rFonts w:ascii="Cambria Math" w:hAnsi="Cambria Math"/>
                      <w:sz w:val="26"/>
                      <w:szCs w:val="26"/>
                    </w:rPr>
                    <m:t>A</m:t>
                  </m:r>
                </m:e>
                <m:sub>
                  <m:r>
                    <m:rPr>
                      <m:sty m:val="p"/>
                    </m:rPr>
                    <w:rPr>
                      <w:rFonts w:ascii="Cambria Math" w:hAnsi="Cambria Math"/>
                      <w:sz w:val="26"/>
                      <w:szCs w:val="26"/>
                    </w:rPr>
                    <m:t>i</m:t>
                  </m:r>
                </m:sub>
              </m:sSub>
            </m:num>
            <m:den>
              <m:sSub>
                <m:sSubPr>
                  <m:ctrlPr>
                    <w:rPr>
                      <w:rFonts w:ascii="Cambria Math" w:hAnsi="Cambria Math"/>
                      <w:sz w:val="26"/>
                      <w:szCs w:val="26"/>
                    </w:rPr>
                  </m:ctrlPr>
                </m:sSubPr>
                <m:e>
                  <m:r>
                    <m:rPr>
                      <m:sty m:val="p"/>
                    </m:rPr>
                    <w:rPr>
                      <w:rFonts w:ascii="Cambria Math" w:hAnsi="Cambria Math"/>
                      <w:sz w:val="26"/>
                      <w:szCs w:val="26"/>
                    </w:rPr>
                    <m:t>A</m:t>
                  </m:r>
                </m:e>
                <m:sub>
                  <m:r>
                    <m:rPr>
                      <m:sty m:val="p"/>
                    </m:rPr>
                    <w:rPr>
                      <w:rFonts w:ascii="Cambria Math" w:hAnsi="Cambria Math"/>
                      <w:sz w:val="26"/>
                      <w:szCs w:val="26"/>
                    </w:rPr>
                    <m:t>max</m:t>
                  </m:r>
                </m:sub>
              </m:sSub>
            </m:den>
          </m:f>
          <m:r>
            <m:rPr>
              <m:sty m:val="p"/>
            </m:rPr>
            <w:rPr>
              <w:rFonts w:ascii="Cambria Math" w:hAnsi="Cambria Math"/>
              <w:sz w:val="26"/>
              <w:szCs w:val="26"/>
            </w:rPr>
            <m:t>×100</m:t>
          </m:r>
        </m:oMath>
      </m:oMathPara>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r w:rsidRPr="007E3C6B">
        <w:rPr>
          <w:sz w:val="26"/>
          <w:szCs w:val="26"/>
        </w:rPr>
        <w:t>где:</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Rai</w:t>
      </w:r>
      <w:proofErr w:type="spellEnd"/>
      <w:r w:rsidRPr="007E3C6B">
        <w:rPr>
          <w:sz w:val="26"/>
          <w:szCs w:val="26"/>
        </w:rPr>
        <w:t xml:space="preserve"> - рейтинг, присуждаемый </w:t>
      </w:r>
      <w:proofErr w:type="spellStart"/>
      <w:r w:rsidRPr="007E3C6B">
        <w:rPr>
          <w:sz w:val="26"/>
          <w:szCs w:val="26"/>
        </w:rPr>
        <w:t>i-й</w:t>
      </w:r>
      <w:proofErr w:type="spellEnd"/>
      <w:r w:rsidRPr="007E3C6B">
        <w:rPr>
          <w:sz w:val="26"/>
          <w:szCs w:val="26"/>
        </w:rPr>
        <w:t xml:space="preserve"> заявке по указанному критерию;</w:t>
      </w:r>
    </w:p>
    <w:p w:rsidR="003D6EA0" w:rsidRPr="007E3C6B"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Amax</w:t>
      </w:r>
      <w:proofErr w:type="spellEnd"/>
      <w:r>
        <w:rPr>
          <w:sz w:val="26"/>
          <w:szCs w:val="26"/>
        </w:rPr>
        <w:t xml:space="preserve"> -  </w:t>
      </w:r>
      <w:r w:rsidRPr="00CA6437">
        <w:rPr>
          <w:sz w:val="26"/>
          <w:szCs w:val="26"/>
        </w:rPr>
        <w:t xml:space="preserve">начальная </w:t>
      </w:r>
      <w:r>
        <w:rPr>
          <w:sz w:val="26"/>
          <w:szCs w:val="26"/>
        </w:rPr>
        <w:t xml:space="preserve">(максимальная) </w:t>
      </w:r>
      <w:r w:rsidRPr="00CA6437">
        <w:rPr>
          <w:sz w:val="26"/>
          <w:szCs w:val="26"/>
        </w:rPr>
        <w:t>цена договора</w:t>
      </w:r>
      <w:r w:rsidRPr="007E3C6B">
        <w:rPr>
          <w:sz w:val="26"/>
          <w:szCs w:val="26"/>
        </w:rPr>
        <w:t>;</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Ai</w:t>
      </w:r>
      <w:proofErr w:type="spellEnd"/>
      <w:r w:rsidRPr="007E3C6B">
        <w:rPr>
          <w:sz w:val="26"/>
          <w:szCs w:val="26"/>
        </w:rPr>
        <w:t xml:space="preserve"> -  </w:t>
      </w:r>
      <w:r w:rsidRPr="00CA6437">
        <w:rPr>
          <w:sz w:val="26"/>
          <w:szCs w:val="26"/>
        </w:rPr>
        <w:t>цена договора, предложенная  i-м участником</w:t>
      </w:r>
      <w:r w:rsidRPr="007E3C6B">
        <w:rPr>
          <w:sz w:val="26"/>
          <w:szCs w:val="26"/>
        </w:rPr>
        <w:t>, предложенная  i-м участником.</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3D6EA0" w:rsidRDefault="003D6EA0" w:rsidP="003D6EA0">
      <w:pPr>
        <w:pStyle w:val="3"/>
        <w:numPr>
          <w:ilvl w:val="1"/>
          <w:numId w:val="3"/>
        </w:numPr>
        <w:tabs>
          <w:tab w:val="left" w:pos="993"/>
        </w:tabs>
        <w:spacing w:line="240" w:lineRule="auto"/>
        <w:rPr>
          <w:sz w:val="26"/>
          <w:szCs w:val="26"/>
        </w:rPr>
      </w:pPr>
      <w:r w:rsidRPr="007E3C6B">
        <w:rPr>
          <w:sz w:val="26"/>
          <w:szCs w:val="26"/>
        </w:rPr>
        <w:t xml:space="preserve">Для получения итогового рейтинга по заявке, рейтинг, присуждаемый этой заявке по каждому из критериев, умножается на соответствующую </w:t>
      </w:r>
      <w:r w:rsidRPr="003D6EA0">
        <w:rPr>
          <w:sz w:val="26"/>
          <w:szCs w:val="26"/>
        </w:rPr>
        <w:t>каждому критерию значимость.</w:t>
      </w:r>
    </w:p>
    <w:p w:rsidR="00314E3B" w:rsidRPr="003D6EA0" w:rsidRDefault="00314E3B" w:rsidP="00314E3B">
      <w:pPr>
        <w:pStyle w:val="ac"/>
        <w:rPr>
          <w:sz w:val="26"/>
          <w:szCs w:val="26"/>
        </w:rPr>
      </w:pPr>
    </w:p>
    <w:p w:rsidR="007A5F6F" w:rsidRPr="003D6EA0" w:rsidRDefault="00314E3B" w:rsidP="003D6EA0">
      <w:pPr>
        <w:pStyle w:val="3"/>
        <w:numPr>
          <w:ilvl w:val="1"/>
          <w:numId w:val="3"/>
        </w:numPr>
        <w:tabs>
          <w:tab w:val="left" w:pos="993"/>
        </w:tabs>
        <w:spacing w:line="240" w:lineRule="auto"/>
        <w:rPr>
          <w:sz w:val="26"/>
          <w:szCs w:val="26"/>
        </w:rPr>
      </w:pPr>
      <w:r w:rsidRPr="003D6EA0">
        <w:rPr>
          <w:sz w:val="26"/>
          <w:szCs w:val="26"/>
        </w:rPr>
        <w:t>П</w:t>
      </w:r>
      <w:r w:rsidR="007A5F6F" w:rsidRPr="003D6EA0">
        <w:rPr>
          <w:sz w:val="26"/>
          <w:szCs w:val="26"/>
        </w:rPr>
        <w:t xml:space="preserve">обедителем запроса предложений признается участник, который предложил </w:t>
      </w:r>
      <w:r w:rsidR="00CA6437" w:rsidRPr="003D6EA0">
        <w:rPr>
          <w:sz w:val="26"/>
          <w:szCs w:val="26"/>
        </w:rPr>
        <w:t>лучшие условия договора</w:t>
      </w:r>
      <w:r w:rsidR="007A5F6F" w:rsidRPr="003D6EA0">
        <w:rPr>
          <w:sz w:val="26"/>
          <w:szCs w:val="26"/>
        </w:rPr>
        <w:t xml:space="preserve"> и заявке которого присвоен первый номер.</w:t>
      </w:r>
    </w:p>
    <w:p w:rsidR="007A5F6F" w:rsidRPr="009B06C7"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p>
    <w:p w:rsidR="00AD3ED8" w:rsidRPr="009B06C7" w:rsidRDefault="00AD3ED8" w:rsidP="003D6EA0">
      <w:pPr>
        <w:pStyle w:val="3"/>
        <w:numPr>
          <w:ilvl w:val="1"/>
          <w:numId w:val="3"/>
        </w:numPr>
        <w:tabs>
          <w:tab w:val="left" w:pos="993"/>
        </w:tabs>
        <w:spacing w:line="240" w:lineRule="auto"/>
        <w:rPr>
          <w:sz w:val="26"/>
          <w:szCs w:val="26"/>
        </w:rPr>
      </w:pPr>
      <w:r w:rsidRPr="009B06C7">
        <w:rPr>
          <w:sz w:val="26"/>
          <w:szCs w:val="26"/>
        </w:rPr>
        <w:t xml:space="preserve"> </w:t>
      </w:r>
      <w:proofErr w:type="gramStart"/>
      <w:r w:rsidRPr="009B06C7">
        <w:rPr>
          <w:sz w:val="26"/>
          <w:szCs w:val="26"/>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9B06C7">
        <w:rPr>
          <w:sz w:val="26"/>
          <w:szCs w:val="26"/>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9B06C7" w:rsidRDefault="00AD3ED8" w:rsidP="003B33FA">
      <w:pPr>
        <w:pStyle w:val="3"/>
        <w:numPr>
          <w:ilvl w:val="0"/>
          <w:numId w:val="0"/>
        </w:numPr>
        <w:tabs>
          <w:tab w:val="left" w:pos="993"/>
        </w:tabs>
        <w:spacing w:line="240" w:lineRule="auto"/>
        <w:ind w:left="792"/>
        <w:rPr>
          <w:sz w:val="26"/>
          <w:szCs w:val="26"/>
        </w:rPr>
      </w:pPr>
    </w:p>
    <w:p w:rsidR="00AD3ED8" w:rsidRPr="009B06C7" w:rsidRDefault="00AD3ED8" w:rsidP="003D6EA0">
      <w:pPr>
        <w:pStyle w:val="3"/>
        <w:numPr>
          <w:ilvl w:val="1"/>
          <w:numId w:val="3"/>
        </w:numPr>
        <w:tabs>
          <w:tab w:val="left" w:pos="993"/>
        </w:tabs>
        <w:spacing w:line="240" w:lineRule="auto"/>
        <w:rPr>
          <w:sz w:val="26"/>
          <w:szCs w:val="26"/>
        </w:rPr>
      </w:pPr>
      <w:r w:rsidRPr="009B06C7">
        <w:rPr>
          <w:sz w:val="26"/>
          <w:szCs w:val="26"/>
        </w:rPr>
        <w:t xml:space="preserve"> В случае</w:t>
      </w:r>
      <w:proofErr w:type="gramStart"/>
      <w:r w:rsidRPr="009B06C7">
        <w:rPr>
          <w:sz w:val="26"/>
          <w:szCs w:val="26"/>
        </w:rPr>
        <w:t>,</w:t>
      </w:r>
      <w:proofErr w:type="gramEnd"/>
      <w:r w:rsidRPr="009B06C7">
        <w:rPr>
          <w:sz w:val="26"/>
          <w:szCs w:val="26"/>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9B06C7">
        <w:rPr>
          <w:sz w:val="26"/>
          <w:szCs w:val="26"/>
        </w:rPr>
        <w:t>участника запроса предложений</w:t>
      </w:r>
      <w:r w:rsidRPr="009B06C7">
        <w:rPr>
          <w:sz w:val="26"/>
          <w:szCs w:val="26"/>
        </w:rPr>
        <w:t xml:space="preserve"> его заявка </w:t>
      </w:r>
      <w:r w:rsidRPr="009B06C7">
        <w:rPr>
          <w:sz w:val="26"/>
          <w:szCs w:val="26"/>
        </w:rPr>
        <w:lastRenderedPageBreak/>
        <w:t xml:space="preserve">рассматривается, и в случае соответствия заявки  участника  требованиям документации о запросе предложений, с таким участником </w:t>
      </w:r>
      <w:r w:rsidR="00B16913">
        <w:rPr>
          <w:sz w:val="26"/>
          <w:szCs w:val="26"/>
        </w:rPr>
        <w:t xml:space="preserve">может быть </w:t>
      </w:r>
      <w:r w:rsidRPr="009B06C7">
        <w:rPr>
          <w:sz w:val="26"/>
          <w:szCs w:val="26"/>
        </w:rPr>
        <w:t>заклю</w:t>
      </w:r>
      <w:r w:rsidR="00B16913">
        <w:rPr>
          <w:sz w:val="26"/>
          <w:szCs w:val="26"/>
        </w:rPr>
        <w:t>чен</w:t>
      </w:r>
      <w:r w:rsidRPr="009B06C7">
        <w:rPr>
          <w:sz w:val="26"/>
          <w:szCs w:val="26"/>
        </w:rPr>
        <w:t xml:space="preserve"> договор.</w:t>
      </w:r>
    </w:p>
    <w:p w:rsidR="009252C6" w:rsidRPr="00BD1EED" w:rsidRDefault="009252C6"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613654"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Заявка на участие в запросе предложений.</w:t>
      </w:r>
    </w:p>
    <w:p w:rsidR="00991BDC" w:rsidRDefault="00991BDC" w:rsidP="00991BDC">
      <w:pPr>
        <w:jc w:val="right"/>
        <w:rPr>
          <w:b/>
          <w:bCs/>
        </w:rPr>
      </w:pPr>
    </w:p>
    <w:sectPr w:rsidR="00991BDC" w:rsidSect="00A97929">
      <w:footerReference w:type="default" r:id="rId2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BC6" w:rsidRDefault="000E3BC6" w:rsidP="00C4121A">
      <w:pPr>
        <w:spacing w:after="0" w:line="240" w:lineRule="auto"/>
      </w:pPr>
      <w:r>
        <w:separator/>
      </w:r>
    </w:p>
  </w:endnote>
  <w:endnote w:type="continuationSeparator" w:id="0">
    <w:p w:rsidR="000E3BC6" w:rsidRDefault="000E3BC6"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FD1870" w:rsidRDefault="00B24F71">
        <w:pPr>
          <w:pStyle w:val="af"/>
          <w:jc w:val="right"/>
        </w:pPr>
        <w:fldSimple w:instr=" PAGE   \* MERGEFORMAT ">
          <w:r w:rsidR="00E079FF">
            <w:rPr>
              <w:noProof/>
            </w:rPr>
            <w:t>3</w:t>
          </w:r>
        </w:fldSimple>
      </w:p>
    </w:sdtContent>
  </w:sdt>
  <w:p w:rsidR="00FD1870" w:rsidRDefault="00FD187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BC6" w:rsidRDefault="000E3BC6" w:rsidP="00C4121A">
      <w:pPr>
        <w:spacing w:after="0" w:line="240" w:lineRule="auto"/>
      </w:pPr>
      <w:r>
        <w:separator/>
      </w:r>
    </w:p>
  </w:footnote>
  <w:footnote w:type="continuationSeparator" w:id="0">
    <w:p w:rsidR="000E3BC6" w:rsidRDefault="000E3BC6"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61DA"/>
    <w:rsid w:val="00006AC8"/>
    <w:rsid w:val="00013342"/>
    <w:rsid w:val="000163D2"/>
    <w:rsid w:val="00020073"/>
    <w:rsid w:val="000217C5"/>
    <w:rsid w:val="00031EE0"/>
    <w:rsid w:val="00033311"/>
    <w:rsid w:val="0003582B"/>
    <w:rsid w:val="00045367"/>
    <w:rsid w:val="0005503B"/>
    <w:rsid w:val="00060A5B"/>
    <w:rsid w:val="00066710"/>
    <w:rsid w:val="00072EB7"/>
    <w:rsid w:val="00075ADD"/>
    <w:rsid w:val="00082324"/>
    <w:rsid w:val="00083119"/>
    <w:rsid w:val="00083E26"/>
    <w:rsid w:val="000925A7"/>
    <w:rsid w:val="00094591"/>
    <w:rsid w:val="00096925"/>
    <w:rsid w:val="00097893"/>
    <w:rsid w:val="00097C8E"/>
    <w:rsid w:val="000A4D22"/>
    <w:rsid w:val="000C018F"/>
    <w:rsid w:val="000C040C"/>
    <w:rsid w:val="000C04DB"/>
    <w:rsid w:val="000C1F8C"/>
    <w:rsid w:val="000E33A1"/>
    <w:rsid w:val="000E3552"/>
    <w:rsid w:val="000E3BC6"/>
    <w:rsid w:val="000E5BBF"/>
    <w:rsid w:val="000E704D"/>
    <w:rsid w:val="000F1A2A"/>
    <w:rsid w:val="000F286C"/>
    <w:rsid w:val="001026BE"/>
    <w:rsid w:val="0010660B"/>
    <w:rsid w:val="00110254"/>
    <w:rsid w:val="00110D3D"/>
    <w:rsid w:val="001119D3"/>
    <w:rsid w:val="00117EEA"/>
    <w:rsid w:val="00126198"/>
    <w:rsid w:val="001276B7"/>
    <w:rsid w:val="00131124"/>
    <w:rsid w:val="00135EAA"/>
    <w:rsid w:val="00142F1B"/>
    <w:rsid w:val="001512D9"/>
    <w:rsid w:val="00174CE9"/>
    <w:rsid w:val="0018072D"/>
    <w:rsid w:val="00181A6A"/>
    <w:rsid w:val="00183879"/>
    <w:rsid w:val="001844D6"/>
    <w:rsid w:val="0019525F"/>
    <w:rsid w:val="001A31DA"/>
    <w:rsid w:val="001B28EC"/>
    <w:rsid w:val="001B3306"/>
    <w:rsid w:val="001B60EF"/>
    <w:rsid w:val="001B789D"/>
    <w:rsid w:val="001D7F82"/>
    <w:rsid w:val="001E0B0E"/>
    <w:rsid w:val="001E67CD"/>
    <w:rsid w:val="001F01F8"/>
    <w:rsid w:val="001F12FE"/>
    <w:rsid w:val="001F2EF5"/>
    <w:rsid w:val="00206301"/>
    <w:rsid w:val="00217E98"/>
    <w:rsid w:val="00217EC1"/>
    <w:rsid w:val="00223FFA"/>
    <w:rsid w:val="00230B20"/>
    <w:rsid w:val="002326FB"/>
    <w:rsid w:val="00234AD3"/>
    <w:rsid w:val="00236DA7"/>
    <w:rsid w:val="00246891"/>
    <w:rsid w:val="0026523E"/>
    <w:rsid w:val="002663F3"/>
    <w:rsid w:val="00275155"/>
    <w:rsid w:val="00276BBF"/>
    <w:rsid w:val="00281E2D"/>
    <w:rsid w:val="00286E70"/>
    <w:rsid w:val="0029067C"/>
    <w:rsid w:val="00293497"/>
    <w:rsid w:val="00293639"/>
    <w:rsid w:val="00294138"/>
    <w:rsid w:val="002A0B02"/>
    <w:rsid w:val="002A4268"/>
    <w:rsid w:val="002A69A7"/>
    <w:rsid w:val="002B1DD1"/>
    <w:rsid w:val="002B3EC9"/>
    <w:rsid w:val="002C02B1"/>
    <w:rsid w:val="002C3C17"/>
    <w:rsid w:val="002C765A"/>
    <w:rsid w:val="002D22DB"/>
    <w:rsid w:val="002D2DB9"/>
    <w:rsid w:val="002D54D1"/>
    <w:rsid w:val="002E78D4"/>
    <w:rsid w:val="002F1D6D"/>
    <w:rsid w:val="002F5221"/>
    <w:rsid w:val="002F7EBC"/>
    <w:rsid w:val="0030015C"/>
    <w:rsid w:val="00301070"/>
    <w:rsid w:val="00305FA4"/>
    <w:rsid w:val="0030724B"/>
    <w:rsid w:val="00313BA2"/>
    <w:rsid w:val="00314E3B"/>
    <w:rsid w:val="00321DB9"/>
    <w:rsid w:val="00323EA3"/>
    <w:rsid w:val="0033070C"/>
    <w:rsid w:val="003325D0"/>
    <w:rsid w:val="00337640"/>
    <w:rsid w:val="003605FC"/>
    <w:rsid w:val="003651A7"/>
    <w:rsid w:val="003653FD"/>
    <w:rsid w:val="003803B3"/>
    <w:rsid w:val="003972CC"/>
    <w:rsid w:val="003A0327"/>
    <w:rsid w:val="003B0998"/>
    <w:rsid w:val="003B13EB"/>
    <w:rsid w:val="003B33FA"/>
    <w:rsid w:val="003B65D2"/>
    <w:rsid w:val="003C1345"/>
    <w:rsid w:val="003D09DB"/>
    <w:rsid w:val="003D6EA0"/>
    <w:rsid w:val="003E4F60"/>
    <w:rsid w:val="003E6B0D"/>
    <w:rsid w:val="003F1FCE"/>
    <w:rsid w:val="00401F9E"/>
    <w:rsid w:val="0041384D"/>
    <w:rsid w:val="00422C43"/>
    <w:rsid w:val="00424014"/>
    <w:rsid w:val="004256C6"/>
    <w:rsid w:val="004304D8"/>
    <w:rsid w:val="00432086"/>
    <w:rsid w:val="00440FC3"/>
    <w:rsid w:val="00450E09"/>
    <w:rsid w:val="00451637"/>
    <w:rsid w:val="00456A1A"/>
    <w:rsid w:val="004627B7"/>
    <w:rsid w:val="004634A2"/>
    <w:rsid w:val="004757D8"/>
    <w:rsid w:val="00476E28"/>
    <w:rsid w:val="00481CEB"/>
    <w:rsid w:val="004849AA"/>
    <w:rsid w:val="004901C9"/>
    <w:rsid w:val="004A0F25"/>
    <w:rsid w:val="004A10C0"/>
    <w:rsid w:val="004A5D71"/>
    <w:rsid w:val="004A5DEE"/>
    <w:rsid w:val="004B3DB5"/>
    <w:rsid w:val="004C27CF"/>
    <w:rsid w:val="004C35BE"/>
    <w:rsid w:val="004C6D8F"/>
    <w:rsid w:val="004E315A"/>
    <w:rsid w:val="004E3B98"/>
    <w:rsid w:val="004F1AD8"/>
    <w:rsid w:val="004F58B1"/>
    <w:rsid w:val="005033D3"/>
    <w:rsid w:val="00505E0C"/>
    <w:rsid w:val="00506EF8"/>
    <w:rsid w:val="0052388F"/>
    <w:rsid w:val="005260ED"/>
    <w:rsid w:val="00526608"/>
    <w:rsid w:val="00533C50"/>
    <w:rsid w:val="00537BC7"/>
    <w:rsid w:val="005411F9"/>
    <w:rsid w:val="00546201"/>
    <w:rsid w:val="00555866"/>
    <w:rsid w:val="005852A6"/>
    <w:rsid w:val="00586D88"/>
    <w:rsid w:val="00594A0D"/>
    <w:rsid w:val="005A6F29"/>
    <w:rsid w:val="005B1E49"/>
    <w:rsid w:val="005B3790"/>
    <w:rsid w:val="005C427A"/>
    <w:rsid w:val="005C6363"/>
    <w:rsid w:val="005D4B84"/>
    <w:rsid w:val="005E27CA"/>
    <w:rsid w:val="005E2EA8"/>
    <w:rsid w:val="005E6E01"/>
    <w:rsid w:val="005F6A2F"/>
    <w:rsid w:val="005F756B"/>
    <w:rsid w:val="00600042"/>
    <w:rsid w:val="00600064"/>
    <w:rsid w:val="00602380"/>
    <w:rsid w:val="00612B17"/>
    <w:rsid w:val="006130DD"/>
    <w:rsid w:val="00613654"/>
    <w:rsid w:val="00625C33"/>
    <w:rsid w:val="00627253"/>
    <w:rsid w:val="00647F1D"/>
    <w:rsid w:val="006524F3"/>
    <w:rsid w:val="00653C20"/>
    <w:rsid w:val="0065438E"/>
    <w:rsid w:val="00664345"/>
    <w:rsid w:val="00671C15"/>
    <w:rsid w:val="00694197"/>
    <w:rsid w:val="00696F51"/>
    <w:rsid w:val="006B0596"/>
    <w:rsid w:val="006C0ADD"/>
    <w:rsid w:val="006C3C55"/>
    <w:rsid w:val="006C6D5C"/>
    <w:rsid w:val="006C7F7D"/>
    <w:rsid w:val="006D6B13"/>
    <w:rsid w:val="006D75EE"/>
    <w:rsid w:val="006F314C"/>
    <w:rsid w:val="006F5BE6"/>
    <w:rsid w:val="006F7D58"/>
    <w:rsid w:val="00704FF0"/>
    <w:rsid w:val="0070629F"/>
    <w:rsid w:val="00711C71"/>
    <w:rsid w:val="0072349F"/>
    <w:rsid w:val="00731760"/>
    <w:rsid w:val="00732541"/>
    <w:rsid w:val="00735305"/>
    <w:rsid w:val="007372DD"/>
    <w:rsid w:val="0074160A"/>
    <w:rsid w:val="00744614"/>
    <w:rsid w:val="00746534"/>
    <w:rsid w:val="007477DD"/>
    <w:rsid w:val="00750341"/>
    <w:rsid w:val="00750DA1"/>
    <w:rsid w:val="00753CD6"/>
    <w:rsid w:val="00761475"/>
    <w:rsid w:val="00794446"/>
    <w:rsid w:val="007A07EC"/>
    <w:rsid w:val="007A5F6F"/>
    <w:rsid w:val="007A7390"/>
    <w:rsid w:val="007C0699"/>
    <w:rsid w:val="007C4371"/>
    <w:rsid w:val="007C6397"/>
    <w:rsid w:val="007C65E4"/>
    <w:rsid w:val="007C7499"/>
    <w:rsid w:val="007D0407"/>
    <w:rsid w:val="007D077C"/>
    <w:rsid w:val="007D20B9"/>
    <w:rsid w:val="007D3C6F"/>
    <w:rsid w:val="007D6E22"/>
    <w:rsid w:val="007E078C"/>
    <w:rsid w:val="007E0C8E"/>
    <w:rsid w:val="007E2AC0"/>
    <w:rsid w:val="007F110B"/>
    <w:rsid w:val="007F3D5E"/>
    <w:rsid w:val="007F75ED"/>
    <w:rsid w:val="007F7B5E"/>
    <w:rsid w:val="008022E7"/>
    <w:rsid w:val="00811182"/>
    <w:rsid w:val="0081548B"/>
    <w:rsid w:val="00816729"/>
    <w:rsid w:val="00836500"/>
    <w:rsid w:val="00840B6D"/>
    <w:rsid w:val="00847218"/>
    <w:rsid w:val="008513EB"/>
    <w:rsid w:val="008556BD"/>
    <w:rsid w:val="00856500"/>
    <w:rsid w:val="00856D30"/>
    <w:rsid w:val="00873A7C"/>
    <w:rsid w:val="00875C61"/>
    <w:rsid w:val="00884746"/>
    <w:rsid w:val="00892A63"/>
    <w:rsid w:val="00893BB5"/>
    <w:rsid w:val="00893E2A"/>
    <w:rsid w:val="00896C3F"/>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51B66"/>
    <w:rsid w:val="00954DDC"/>
    <w:rsid w:val="0096019B"/>
    <w:rsid w:val="0096120B"/>
    <w:rsid w:val="00970033"/>
    <w:rsid w:val="0097097B"/>
    <w:rsid w:val="0098124F"/>
    <w:rsid w:val="00981F5B"/>
    <w:rsid w:val="009822B8"/>
    <w:rsid w:val="009841C2"/>
    <w:rsid w:val="009845CB"/>
    <w:rsid w:val="0099053C"/>
    <w:rsid w:val="00991BDC"/>
    <w:rsid w:val="00993893"/>
    <w:rsid w:val="009B06C7"/>
    <w:rsid w:val="009B5709"/>
    <w:rsid w:val="009C0E59"/>
    <w:rsid w:val="009D1EDB"/>
    <w:rsid w:val="009D2758"/>
    <w:rsid w:val="009E4991"/>
    <w:rsid w:val="009F2F94"/>
    <w:rsid w:val="009F5B26"/>
    <w:rsid w:val="00A0218A"/>
    <w:rsid w:val="00A203B8"/>
    <w:rsid w:val="00A31178"/>
    <w:rsid w:val="00A431E5"/>
    <w:rsid w:val="00A551FE"/>
    <w:rsid w:val="00A55A3F"/>
    <w:rsid w:val="00A57ED5"/>
    <w:rsid w:val="00A603A6"/>
    <w:rsid w:val="00A610B0"/>
    <w:rsid w:val="00A61414"/>
    <w:rsid w:val="00A63F28"/>
    <w:rsid w:val="00A654F5"/>
    <w:rsid w:val="00A80EAF"/>
    <w:rsid w:val="00A8659B"/>
    <w:rsid w:val="00A93399"/>
    <w:rsid w:val="00A9792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24F71"/>
    <w:rsid w:val="00B35117"/>
    <w:rsid w:val="00B46F5B"/>
    <w:rsid w:val="00B538A3"/>
    <w:rsid w:val="00B57386"/>
    <w:rsid w:val="00B64578"/>
    <w:rsid w:val="00B7097C"/>
    <w:rsid w:val="00B71F9F"/>
    <w:rsid w:val="00B72FAE"/>
    <w:rsid w:val="00B74D5F"/>
    <w:rsid w:val="00B80ED2"/>
    <w:rsid w:val="00B821F9"/>
    <w:rsid w:val="00B8278B"/>
    <w:rsid w:val="00BA53FF"/>
    <w:rsid w:val="00BB049D"/>
    <w:rsid w:val="00BB3BBC"/>
    <w:rsid w:val="00BD1D7C"/>
    <w:rsid w:val="00BD1EED"/>
    <w:rsid w:val="00BE186C"/>
    <w:rsid w:val="00BE1F6B"/>
    <w:rsid w:val="00BE6D38"/>
    <w:rsid w:val="00BF3B98"/>
    <w:rsid w:val="00BF4185"/>
    <w:rsid w:val="00C02128"/>
    <w:rsid w:val="00C0501A"/>
    <w:rsid w:val="00C119FC"/>
    <w:rsid w:val="00C22E08"/>
    <w:rsid w:val="00C23154"/>
    <w:rsid w:val="00C25C34"/>
    <w:rsid w:val="00C3170C"/>
    <w:rsid w:val="00C321FF"/>
    <w:rsid w:val="00C37308"/>
    <w:rsid w:val="00C4121A"/>
    <w:rsid w:val="00C4221C"/>
    <w:rsid w:val="00C426AB"/>
    <w:rsid w:val="00C43E94"/>
    <w:rsid w:val="00C44907"/>
    <w:rsid w:val="00C4783F"/>
    <w:rsid w:val="00C659D2"/>
    <w:rsid w:val="00C76682"/>
    <w:rsid w:val="00C85853"/>
    <w:rsid w:val="00C902BF"/>
    <w:rsid w:val="00C9324C"/>
    <w:rsid w:val="00C958E4"/>
    <w:rsid w:val="00CA6437"/>
    <w:rsid w:val="00CB0780"/>
    <w:rsid w:val="00CB1A80"/>
    <w:rsid w:val="00CC47C9"/>
    <w:rsid w:val="00CC57F4"/>
    <w:rsid w:val="00CD121B"/>
    <w:rsid w:val="00CD2451"/>
    <w:rsid w:val="00CD2999"/>
    <w:rsid w:val="00CD4CCD"/>
    <w:rsid w:val="00CE5030"/>
    <w:rsid w:val="00CE65FA"/>
    <w:rsid w:val="00CE7ED9"/>
    <w:rsid w:val="00CF05D6"/>
    <w:rsid w:val="00CF436C"/>
    <w:rsid w:val="00D164CA"/>
    <w:rsid w:val="00D17716"/>
    <w:rsid w:val="00D250D5"/>
    <w:rsid w:val="00D27B12"/>
    <w:rsid w:val="00D27E0D"/>
    <w:rsid w:val="00D3127F"/>
    <w:rsid w:val="00D320A4"/>
    <w:rsid w:val="00D4063E"/>
    <w:rsid w:val="00D414D8"/>
    <w:rsid w:val="00D45DBB"/>
    <w:rsid w:val="00D5323B"/>
    <w:rsid w:val="00D60B47"/>
    <w:rsid w:val="00D6172A"/>
    <w:rsid w:val="00D706FB"/>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079FF"/>
    <w:rsid w:val="00E13D36"/>
    <w:rsid w:val="00E255D8"/>
    <w:rsid w:val="00E32588"/>
    <w:rsid w:val="00E33005"/>
    <w:rsid w:val="00E372C2"/>
    <w:rsid w:val="00E37BDB"/>
    <w:rsid w:val="00E40F79"/>
    <w:rsid w:val="00E41CE8"/>
    <w:rsid w:val="00E430EA"/>
    <w:rsid w:val="00E44E18"/>
    <w:rsid w:val="00E475FC"/>
    <w:rsid w:val="00E552A6"/>
    <w:rsid w:val="00E65AB5"/>
    <w:rsid w:val="00E75E9B"/>
    <w:rsid w:val="00E8000E"/>
    <w:rsid w:val="00E82F2E"/>
    <w:rsid w:val="00E848E2"/>
    <w:rsid w:val="00E84A3B"/>
    <w:rsid w:val="00E9573E"/>
    <w:rsid w:val="00EA0BEB"/>
    <w:rsid w:val="00EA122D"/>
    <w:rsid w:val="00EA2798"/>
    <w:rsid w:val="00EA40A9"/>
    <w:rsid w:val="00EA765C"/>
    <w:rsid w:val="00EB4347"/>
    <w:rsid w:val="00EC462F"/>
    <w:rsid w:val="00EC49D5"/>
    <w:rsid w:val="00ED4650"/>
    <w:rsid w:val="00ED5E88"/>
    <w:rsid w:val="00EE1772"/>
    <w:rsid w:val="00EE62C8"/>
    <w:rsid w:val="00EE63DB"/>
    <w:rsid w:val="00EF2CF9"/>
    <w:rsid w:val="00EF4D9E"/>
    <w:rsid w:val="00EF7C42"/>
    <w:rsid w:val="00F018B1"/>
    <w:rsid w:val="00F040B6"/>
    <w:rsid w:val="00F05C54"/>
    <w:rsid w:val="00F14BD5"/>
    <w:rsid w:val="00F17978"/>
    <w:rsid w:val="00F23361"/>
    <w:rsid w:val="00F24EE8"/>
    <w:rsid w:val="00F26152"/>
    <w:rsid w:val="00F27672"/>
    <w:rsid w:val="00F37244"/>
    <w:rsid w:val="00F41883"/>
    <w:rsid w:val="00F42219"/>
    <w:rsid w:val="00F429E7"/>
    <w:rsid w:val="00F43D22"/>
    <w:rsid w:val="00F45F65"/>
    <w:rsid w:val="00F50BF0"/>
    <w:rsid w:val="00F53B0D"/>
    <w:rsid w:val="00F56B49"/>
    <w:rsid w:val="00F74F71"/>
    <w:rsid w:val="00F84C15"/>
    <w:rsid w:val="00F86437"/>
    <w:rsid w:val="00F973FF"/>
    <w:rsid w:val="00FC083E"/>
    <w:rsid w:val="00FC33B4"/>
    <w:rsid w:val="00FC719B"/>
    <w:rsid w:val="00FD1870"/>
    <w:rsid w:val="00FE0463"/>
    <w:rsid w:val="00FE17E8"/>
    <w:rsid w:val="00FE6363"/>
    <w:rsid w:val="00FF187F"/>
    <w:rsid w:val="00FF4EB0"/>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 w:type="character" w:customStyle="1" w:styleId="FontStyle12">
    <w:name w:val="Font Style12"/>
    <w:basedOn w:val="a0"/>
    <w:uiPriority w:val="99"/>
    <w:rsid w:val="00C321FF"/>
    <w:rPr>
      <w:rFonts w:ascii="Times New Roman" w:hAnsi="Times New Roman" w:cs="Times New Roman"/>
      <w:sz w:val="20"/>
      <w:szCs w:val="20"/>
    </w:rPr>
  </w:style>
  <w:style w:type="character" w:customStyle="1" w:styleId="FontStyle13">
    <w:name w:val="Font Style13"/>
    <w:rsid w:val="00FF187F"/>
    <w:rPr>
      <w:rFonts w:ascii="Times New Roman" w:hAnsi="Times New Roman" w:cs="Times New Roman"/>
      <w:b/>
      <w:bCs/>
      <w:sz w:val="22"/>
      <w:szCs w:val="22"/>
    </w:rPr>
  </w:style>
  <w:style w:type="character" w:customStyle="1" w:styleId="FontStyle15">
    <w:name w:val="Font Style15"/>
    <w:rsid w:val="00FF187F"/>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39239109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82E2A-8DE7-4C95-8506-10941989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Pages>
  <Words>4221</Words>
  <Characters>24065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2012-12-10T06:24:00Z</cp:lastPrinted>
  <dcterms:created xsi:type="dcterms:W3CDTF">2012-06-29T11:46:00Z</dcterms:created>
  <dcterms:modified xsi:type="dcterms:W3CDTF">2013-01-17T12:37:00Z</dcterms:modified>
</cp:coreProperties>
</file>