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6656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9638097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C216BC">
        <w:rPr>
          <w:rFonts w:ascii="Times New Roman" w:hAnsi="Times New Roman" w:cs="Times New Roman"/>
          <w:highlight w:val="yellow"/>
          <w:u w:val="single"/>
          <w:lang w:eastAsia="ru-RU"/>
        </w:rPr>
        <w:t>27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C216BC">
        <w:rPr>
          <w:rFonts w:ascii="Times New Roman" w:hAnsi="Times New Roman" w:cs="Times New Roman"/>
          <w:highlight w:val="yellow"/>
          <w:u w:val="single"/>
          <w:lang w:eastAsia="ru-RU"/>
        </w:rPr>
        <w:t>дека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Default="006525D3" w:rsidP="009B3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услу</w:t>
            </w:r>
            <w:r w:rsidRPr="0096409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 по охране объектов</w:t>
            </w:r>
          </w:p>
          <w:p w:rsidR="006525D3" w:rsidRPr="00370893" w:rsidRDefault="006525D3" w:rsidP="009B3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866FCD" w:rsidP="00652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66FCD"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 xml:space="preserve">Начальная (максимальная) </w:t>
            </w:r>
            <w:r w:rsidRPr="00866FC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стоимость одного человеко-часа охранника – </w:t>
            </w:r>
            <w:r w:rsidRPr="00866FCD">
              <w:rPr>
                <w:rFonts w:ascii="Times New Roman" w:eastAsia="Times New Roman" w:hAnsi="Times New Roman" w:cs="Times New Roman"/>
                <w:b/>
                <w:i/>
                <w:highlight w:val="yellow"/>
                <w:u w:val="single"/>
                <w:lang w:eastAsia="ru-RU"/>
              </w:rPr>
              <w:t xml:space="preserve">100,00 </w:t>
            </w:r>
            <w:r w:rsidRPr="00866FCD">
              <w:rPr>
                <w:rFonts w:ascii="Times New Roman" w:eastAsia="Times New Roman" w:hAnsi="Times New Roman" w:cs="Times New Roman"/>
                <w:i/>
                <w:highlight w:val="yellow"/>
                <w:u w:val="single"/>
                <w:lang w:eastAsia="ru-RU"/>
              </w:rPr>
              <w:t>(сто) рублей 00 копеек</w:t>
            </w:r>
            <w:r w:rsidRPr="00866FC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при этом </w:t>
            </w:r>
            <w:r w:rsidRPr="00866FCD">
              <w:rPr>
                <w:rFonts w:ascii="Times New Roman" w:eastAsia="Times New Roman" w:hAnsi="Times New Roman" w:cs="Times New Roman"/>
                <w:highlight w:val="yellow"/>
                <w:u w:val="single"/>
                <w:lang w:eastAsia="ru-RU"/>
              </w:rPr>
              <w:t>обще годовая стоимость договора</w:t>
            </w:r>
            <w:r w:rsidRPr="00866FC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не должна превышать – </w:t>
            </w:r>
            <w:r w:rsidRPr="00866FCD">
              <w:rPr>
                <w:rFonts w:ascii="Times New Roman" w:eastAsia="Times New Roman" w:hAnsi="Times New Roman" w:cs="Times New Roman"/>
                <w:b/>
                <w:i/>
                <w:highlight w:val="yellow"/>
                <w:u w:val="single"/>
                <w:lang w:eastAsia="ru-RU"/>
              </w:rPr>
              <w:t xml:space="preserve">2 000 000,00 </w:t>
            </w:r>
            <w:r w:rsidRPr="00866FCD">
              <w:rPr>
                <w:rFonts w:ascii="Times New Roman" w:eastAsia="Times New Roman" w:hAnsi="Times New Roman" w:cs="Times New Roman"/>
                <w:i/>
                <w:highlight w:val="yellow"/>
                <w:u w:val="single"/>
                <w:lang w:eastAsia="ru-RU"/>
              </w:rPr>
              <w:t xml:space="preserve">(два миллиона) рублей 00 копеек </w:t>
            </w:r>
            <w:r w:rsidRPr="00866FC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(с учетом всех расходов, сборов, связанных с заключением договора).</w:t>
            </w:r>
            <w:bookmarkStart w:id="0" w:name="_GoBack"/>
            <w:bookmarkEnd w:id="0"/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21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C216B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C216B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C216B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21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C216B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C216B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C216B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6E" w:rsidRDefault="00F6656E" w:rsidP="00F4241E">
      <w:pPr>
        <w:spacing w:after="0" w:line="240" w:lineRule="auto"/>
      </w:pPr>
      <w:r>
        <w:separator/>
      </w:r>
    </w:p>
  </w:endnote>
  <w:endnote w:type="continuationSeparator" w:id="0">
    <w:p w:rsidR="00F6656E" w:rsidRDefault="00F6656E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6F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6E" w:rsidRDefault="00F6656E" w:rsidP="00F4241E">
      <w:pPr>
        <w:spacing w:after="0" w:line="240" w:lineRule="auto"/>
      </w:pPr>
      <w:r>
        <w:separator/>
      </w:r>
    </w:p>
  </w:footnote>
  <w:footnote w:type="continuationSeparator" w:id="0">
    <w:p w:rsidR="00F6656E" w:rsidRDefault="00F6656E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4B4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66FCD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486F"/>
    <w:rsid w:val="00AB5087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16B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48FB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656E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28</cp:revision>
  <cp:lastPrinted>2013-10-03T18:36:00Z</cp:lastPrinted>
  <dcterms:created xsi:type="dcterms:W3CDTF">2013-03-18T05:01:00Z</dcterms:created>
  <dcterms:modified xsi:type="dcterms:W3CDTF">2013-12-27T04:28:00Z</dcterms:modified>
</cp:coreProperties>
</file>