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 xml:space="preserve">к </w:t>
      </w:r>
      <w:r w:rsidR="00472C71">
        <w:rPr>
          <w:b/>
          <w:bCs/>
        </w:rPr>
        <w:t xml:space="preserve"> </w:t>
      </w:r>
      <w:r>
        <w:rPr>
          <w:b/>
          <w:bCs/>
        </w:rPr>
        <w:t>документации</w:t>
      </w:r>
      <w:r w:rsidR="00472C71">
        <w:rPr>
          <w:b/>
          <w:bCs/>
        </w:rPr>
        <w:t xml:space="preserve"> о запросе цен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472C71" w:rsidRPr="00AC4ABA">
        <w:rPr>
          <w:highlight w:val="yellow"/>
        </w:rPr>
        <w:t>«</w:t>
      </w:r>
      <w:r w:rsidR="00472C71" w:rsidRPr="00F91A65">
        <w:rPr>
          <w:highlight w:val="yellow"/>
        </w:rPr>
        <w:t xml:space="preserve">Строительство распределительных сетей напряжением 10 кВ и трансформаторных подстанций для электроснабжения на время строительства жилого комплекса в </w:t>
      </w:r>
      <w:proofErr w:type="spellStart"/>
      <w:r w:rsidR="00472C71" w:rsidRPr="00F91A65">
        <w:rPr>
          <w:highlight w:val="yellow"/>
        </w:rPr>
        <w:t>мкр</w:t>
      </w:r>
      <w:proofErr w:type="gramStart"/>
      <w:r w:rsidR="00472C71" w:rsidRPr="00F91A65">
        <w:rPr>
          <w:highlight w:val="yellow"/>
        </w:rPr>
        <w:t>.Б</w:t>
      </w:r>
      <w:proofErr w:type="gramEnd"/>
      <w:r w:rsidR="00472C71" w:rsidRPr="00F91A65">
        <w:rPr>
          <w:highlight w:val="yellow"/>
        </w:rPr>
        <w:t>олшево</w:t>
      </w:r>
      <w:proofErr w:type="spellEnd"/>
      <w:r w:rsidR="00472C71" w:rsidRPr="00F91A65">
        <w:rPr>
          <w:highlight w:val="yellow"/>
        </w:rPr>
        <w:t xml:space="preserve"> г.Королева</w:t>
      </w:r>
      <w:r w:rsidR="00472C71" w:rsidRPr="00AC4ABA">
        <w:rPr>
          <w:highlight w:val="yellow"/>
        </w:rPr>
        <w:t>»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1)</w:t>
      </w:r>
      <w:r w:rsidR="00E661EB" w:rsidRPr="00AC4ABA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lastRenderedPageBreak/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1E787C" w:rsidRPr="00F4121B" w:rsidRDefault="00DC5C15" w:rsidP="001E787C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="001E787C" w:rsidRPr="00F4121B">
        <w:rPr>
          <w:u w:val="single"/>
        </w:rPr>
        <w:t xml:space="preserve">в течение трех дней </w:t>
      </w:r>
      <w:r w:rsidR="00215A94">
        <w:rPr>
          <w:u w:val="single"/>
        </w:rPr>
        <w:t>со дня</w:t>
      </w:r>
      <w:r w:rsidR="001E787C">
        <w:rPr>
          <w:u w:val="single"/>
        </w:rPr>
        <w:t xml:space="preserve"> заключения договора</w:t>
      </w:r>
      <w:r w:rsidR="001E787C" w:rsidRPr="00F4121B">
        <w:rPr>
          <w:u w:val="single"/>
        </w:rPr>
        <w:t>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472C71">
        <w:rPr>
          <w:highlight w:val="yellow"/>
          <w:u w:val="single"/>
        </w:rPr>
        <w:t>30.05</w:t>
      </w:r>
      <w:r w:rsidR="00AC4ABA">
        <w:rPr>
          <w:highlight w:val="yellow"/>
          <w:u w:val="single"/>
        </w:rPr>
        <w:t>.</w:t>
      </w:r>
      <w:r w:rsidR="00113C77" w:rsidRPr="00113C77">
        <w:rPr>
          <w:highlight w:val="yellow"/>
          <w:u w:val="single"/>
        </w:rPr>
        <w:t>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>проектно-</w:t>
      </w:r>
      <w:r w:rsidR="007436A7" w:rsidRPr="00C46B37">
        <w:lastRenderedPageBreak/>
        <w:t xml:space="preserve">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</w:t>
      </w:r>
      <w:r w:rsidRPr="00C44961">
        <w:lastRenderedPageBreak/>
        <w:t>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</w:t>
      </w:r>
      <w:r w:rsidRPr="00C44961">
        <w:lastRenderedPageBreak/>
        <w:t xml:space="preserve">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5953F7" w:rsidRDefault="005953F7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847" w:rsidRDefault="000B6847">
      <w:r>
        <w:separator/>
      </w:r>
    </w:p>
  </w:endnote>
  <w:endnote w:type="continuationSeparator" w:id="0">
    <w:p w:rsidR="000B6847" w:rsidRDefault="000B6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B07599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B07599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472C71">
          <w:rPr>
            <w:noProof/>
            <w:sz w:val="22"/>
            <w:szCs w:val="22"/>
          </w:rPr>
          <w:t>18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847" w:rsidRDefault="000B6847">
      <w:r>
        <w:separator/>
      </w:r>
    </w:p>
  </w:footnote>
  <w:footnote w:type="continuationSeparator" w:id="0">
    <w:p w:rsidR="000B6847" w:rsidRDefault="000B68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B6847"/>
    <w:rsid w:val="000C1325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043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4A3B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2C71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53F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07599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159A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4EED"/>
    <w:rsid w:val="00CD778E"/>
    <w:rsid w:val="00CE193C"/>
    <w:rsid w:val="00CE7DA3"/>
    <w:rsid w:val="00CF15EB"/>
    <w:rsid w:val="00CF273B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1E20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185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8</cp:revision>
  <cp:lastPrinted>2012-12-14T06:19:00Z</cp:lastPrinted>
  <dcterms:created xsi:type="dcterms:W3CDTF">2013-03-01T06:44:00Z</dcterms:created>
  <dcterms:modified xsi:type="dcterms:W3CDTF">2013-03-28T12:12:00Z</dcterms:modified>
</cp:coreProperties>
</file>