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A92AC6"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72564444"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76475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76475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002D43">
        <w:rPr>
          <w:b w:val="0"/>
          <w:sz w:val="24"/>
          <w:szCs w:val="24"/>
          <w:u w:val="single"/>
        </w:rPr>
        <w:t>«</w:t>
      </w:r>
      <w:r w:rsidR="0076475A">
        <w:rPr>
          <w:b w:val="0"/>
          <w:sz w:val="24"/>
          <w:szCs w:val="24"/>
          <w:u w:val="single"/>
        </w:rPr>
        <w:t>19</w:t>
      </w:r>
      <w:r w:rsidR="00D45DBB" w:rsidRPr="00247305">
        <w:rPr>
          <w:b w:val="0"/>
          <w:sz w:val="24"/>
          <w:szCs w:val="24"/>
          <w:u w:val="single"/>
        </w:rPr>
        <w:t xml:space="preserve">» </w:t>
      </w:r>
      <w:r w:rsidR="0076475A">
        <w:rPr>
          <w:b w:val="0"/>
          <w:sz w:val="24"/>
          <w:szCs w:val="24"/>
          <w:u w:val="single"/>
        </w:rPr>
        <w:t>сентября</w:t>
      </w:r>
      <w:r w:rsidR="00D45DBB" w:rsidRPr="00247305">
        <w:rPr>
          <w:b w:val="0"/>
          <w:sz w:val="24"/>
          <w:szCs w:val="24"/>
          <w:u w:val="single"/>
        </w:rPr>
        <w:t xml:space="preserve"> 201</w:t>
      </w:r>
      <w:r w:rsidR="0076475A">
        <w:rPr>
          <w:b w:val="0"/>
          <w:sz w:val="24"/>
          <w:szCs w:val="24"/>
          <w:u w:val="single"/>
        </w:rPr>
        <w:t>4</w:t>
      </w:r>
      <w:r w:rsidR="00D45DBB" w:rsidRPr="00247305">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930F5" w:rsidRDefault="000930F5" w:rsidP="000930F5">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0930F5" w:rsidRPr="00666E30" w:rsidRDefault="000930F5" w:rsidP="000930F5">
      <w:pPr>
        <w:jc w:val="center"/>
        <w:rPr>
          <w:rFonts w:ascii="Times New Roman" w:eastAsia="Times New Roman" w:hAnsi="Times New Roman" w:cs="Times New Roman"/>
          <w:sz w:val="36"/>
          <w:szCs w:val="36"/>
          <w:lang w:eastAsia="ru-RU"/>
        </w:rPr>
      </w:pPr>
      <w:r w:rsidRPr="00666E30">
        <w:rPr>
          <w:rFonts w:ascii="Times New Roman" w:eastAsia="Times New Roman" w:hAnsi="Times New Roman" w:cs="Times New Roman"/>
          <w:sz w:val="36"/>
          <w:szCs w:val="36"/>
          <w:lang w:eastAsia="ru-RU"/>
        </w:rPr>
        <w:t xml:space="preserve">купли-продажи нефтепродуктов по талонам </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002D43">
        <w:rPr>
          <w:rFonts w:ascii="Times New Roman" w:hAnsi="Times New Roman"/>
          <w:sz w:val="24"/>
          <w:szCs w:val="24"/>
          <w:highlight w:val="yellow"/>
          <w:lang w:eastAsia="ru-RU"/>
        </w:rPr>
        <w:t xml:space="preserve"> №0</w:t>
      </w:r>
      <w:r w:rsidR="00AD353F">
        <w:rPr>
          <w:rFonts w:ascii="Times New Roman" w:hAnsi="Times New Roman"/>
          <w:sz w:val="24"/>
          <w:szCs w:val="24"/>
          <w:highlight w:val="yellow"/>
          <w:lang w:eastAsia="ru-RU"/>
        </w:rPr>
        <w:t>2</w:t>
      </w:r>
      <w:r w:rsidR="0076475A">
        <w:rPr>
          <w:rFonts w:ascii="Times New Roman" w:hAnsi="Times New Roman"/>
          <w:sz w:val="24"/>
          <w:szCs w:val="24"/>
          <w:highlight w:val="yellow"/>
          <w:lang w:eastAsia="ru-RU"/>
        </w:rPr>
        <w:t>1</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w:t>
      </w:r>
      <w:r w:rsidR="0076475A">
        <w:rPr>
          <w:rFonts w:ascii="Times New Roman" w:hAnsi="Times New Roman"/>
          <w:sz w:val="24"/>
          <w:szCs w:val="24"/>
          <w:highlight w:val="yellow"/>
          <w:lang w:eastAsia="ru-RU"/>
        </w:rPr>
        <w:t>4</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002D43">
        <w:rPr>
          <w:rFonts w:ascii="Times New Roman" w:hAnsi="Times New Roman"/>
          <w:sz w:val="24"/>
          <w:szCs w:val="24"/>
          <w:lang w:eastAsia="ru-RU"/>
        </w:rPr>
        <w:t>201</w:t>
      </w:r>
      <w:r w:rsidR="0076475A">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0930F5" w:rsidRPr="002A1420">
        <w:rPr>
          <w:bCs/>
          <w:sz w:val="26"/>
          <w:szCs w:val="26"/>
          <w:highlight w:val="yellow"/>
        </w:rPr>
        <w:t xml:space="preserve">договора </w:t>
      </w:r>
      <w:r w:rsidR="000930F5" w:rsidRPr="00E471A0">
        <w:rPr>
          <w:bCs/>
          <w:sz w:val="26"/>
          <w:szCs w:val="26"/>
          <w:highlight w:val="yellow"/>
        </w:rPr>
        <w:t>купли-продажи нефтепродуктов по талонам</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0076475A">
        <w:rPr>
          <w:sz w:val="26"/>
          <w:szCs w:val="26"/>
        </w:rPr>
        <w:t>За</w:t>
      </w:r>
      <w:r w:rsidRPr="003B33FA">
        <w:rPr>
          <w:sz w:val="26"/>
          <w:szCs w:val="26"/>
        </w:rPr>
        <w:t>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AD353F" w:rsidRPr="00AD353F">
        <w:rPr>
          <w:color w:val="0000FF"/>
          <w:u w:val="single"/>
        </w:rPr>
        <w:t>avseevich.av@kenet.ru</w:t>
      </w:r>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AD353F">
        <w:rPr>
          <w:bCs/>
          <w:sz w:val="26"/>
          <w:szCs w:val="26"/>
        </w:rPr>
        <w:t>Авсеевич</w:t>
      </w:r>
      <w:proofErr w:type="spellEnd"/>
      <w:r>
        <w:rPr>
          <w:bCs/>
          <w:sz w:val="26"/>
          <w:szCs w:val="26"/>
        </w:rPr>
        <w:t xml:space="preserve"> </w:t>
      </w:r>
      <w:r w:rsidR="00AD353F">
        <w:rPr>
          <w:bCs/>
          <w:sz w:val="26"/>
          <w:szCs w:val="26"/>
        </w:rPr>
        <w:t>А</w:t>
      </w:r>
      <w:r>
        <w:rPr>
          <w:bCs/>
          <w:sz w:val="26"/>
          <w:szCs w:val="26"/>
        </w:rPr>
        <w:t>.</w:t>
      </w:r>
      <w:r w:rsidR="00AD353F">
        <w:rPr>
          <w:bCs/>
          <w:sz w:val="26"/>
          <w:szCs w:val="26"/>
        </w:rPr>
        <w:t>В</w:t>
      </w:r>
      <w:r>
        <w:rPr>
          <w:bCs/>
          <w:sz w:val="26"/>
          <w:szCs w:val="26"/>
        </w:rPr>
        <w:t>.</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 xml:space="preserve">Официальный сайт </w:t>
      </w:r>
      <w:r w:rsidR="0076475A">
        <w:rPr>
          <w:b/>
          <w:bCs/>
          <w:sz w:val="26"/>
          <w:szCs w:val="26"/>
        </w:rPr>
        <w:t>З</w:t>
      </w:r>
      <w:r w:rsidRPr="00E41CE8">
        <w:rPr>
          <w:b/>
          <w:bCs/>
          <w:sz w:val="26"/>
          <w:szCs w:val="26"/>
        </w:rPr>
        <w:t>АО «Королевская электросеть»</w:t>
      </w:r>
      <w:r>
        <w:rPr>
          <w:bCs/>
          <w:sz w:val="26"/>
          <w:szCs w:val="26"/>
        </w:rPr>
        <w:t xml:space="preserve"> - </w:t>
      </w:r>
      <w:hyperlink r:id="rId11"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76475A" w:rsidP="00C902BF">
      <w:pPr>
        <w:pStyle w:val="3"/>
        <w:numPr>
          <w:ilvl w:val="1"/>
          <w:numId w:val="3"/>
        </w:numPr>
        <w:spacing w:line="240" w:lineRule="auto"/>
        <w:rPr>
          <w:sz w:val="26"/>
          <w:szCs w:val="26"/>
          <w:highlight w:val="yellow"/>
        </w:rPr>
      </w:pPr>
      <w:proofErr w:type="gramStart"/>
      <w:r>
        <w:rPr>
          <w:rStyle w:val="rvts31452"/>
          <w:sz w:val="26"/>
          <w:szCs w:val="26"/>
        </w:rPr>
        <w:t>З</w:t>
      </w:r>
      <w:r w:rsidR="00AA1E67" w:rsidRPr="00BD1EED">
        <w:rPr>
          <w:rStyle w:val="rvts31452"/>
          <w:sz w:val="26"/>
          <w:szCs w:val="26"/>
        </w:rPr>
        <w:t>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w:t>
      </w:r>
      <w:hyperlink r:id="rId12"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3651A7" w:rsidRPr="00BD1EED">
        <w:rPr>
          <w:rStyle w:val="rvts31451"/>
          <w:sz w:val="26"/>
          <w:szCs w:val="26"/>
        </w:rPr>
        <w:t xml:space="preserve">), </w:t>
      </w:r>
      <w:r w:rsidR="00AA1E67"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0930F5" w:rsidRPr="002A1420">
        <w:rPr>
          <w:bCs/>
          <w:sz w:val="26"/>
          <w:szCs w:val="26"/>
          <w:highlight w:val="yellow"/>
        </w:rPr>
        <w:t xml:space="preserve">договора </w:t>
      </w:r>
      <w:r w:rsidR="000930F5" w:rsidRPr="00E471A0">
        <w:rPr>
          <w:bCs/>
          <w:sz w:val="26"/>
          <w:szCs w:val="26"/>
          <w:highlight w:val="yellow"/>
        </w:rPr>
        <w:t>купли-продажи нефтепродуктов по талонам</w:t>
      </w:r>
      <w:r w:rsidR="009D1B3D">
        <w:rPr>
          <w:bCs/>
          <w:sz w:val="26"/>
          <w:szCs w:val="26"/>
        </w:rPr>
        <w:t>.</w:t>
      </w:r>
      <w:proofErr w:type="gramEnd"/>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w:t>
      </w:r>
      <w:r w:rsidRPr="00BD1EED">
        <w:rPr>
          <w:sz w:val="26"/>
          <w:szCs w:val="26"/>
        </w:rPr>
        <w:lastRenderedPageBreak/>
        <w:t xml:space="preserve">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w:t>
      </w:r>
      <w:hyperlink r:id="rId13"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577264" w:rsidRDefault="005F6A2F" w:rsidP="00A57C58">
      <w:pPr>
        <w:pStyle w:val="3"/>
        <w:numPr>
          <w:ilvl w:val="1"/>
          <w:numId w:val="3"/>
        </w:numPr>
        <w:spacing w:line="240" w:lineRule="auto"/>
        <w:rPr>
          <w:sz w:val="26"/>
          <w:szCs w:val="26"/>
          <w:highlight w:val="yellow"/>
        </w:rPr>
      </w:pPr>
      <w:r w:rsidRPr="00577264">
        <w:rPr>
          <w:sz w:val="26"/>
          <w:szCs w:val="26"/>
          <w:highlight w:val="yellow"/>
        </w:rPr>
        <w:t xml:space="preserve">Предметом </w:t>
      </w:r>
      <w:r w:rsidR="009252C6" w:rsidRPr="00577264">
        <w:rPr>
          <w:sz w:val="26"/>
          <w:szCs w:val="26"/>
          <w:highlight w:val="yellow"/>
        </w:rPr>
        <w:t xml:space="preserve">запроса </w:t>
      </w:r>
      <w:r w:rsidR="00896E7A" w:rsidRPr="00577264">
        <w:rPr>
          <w:sz w:val="26"/>
          <w:szCs w:val="26"/>
          <w:highlight w:val="yellow"/>
        </w:rPr>
        <w:t>цен</w:t>
      </w:r>
      <w:r w:rsidRPr="00577264">
        <w:rPr>
          <w:sz w:val="26"/>
          <w:szCs w:val="26"/>
          <w:highlight w:val="yellow"/>
        </w:rPr>
        <w:t xml:space="preserve"> является право заключения </w:t>
      </w:r>
      <w:r w:rsidR="000930F5" w:rsidRPr="00577264">
        <w:rPr>
          <w:bCs/>
          <w:sz w:val="26"/>
          <w:szCs w:val="26"/>
          <w:highlight w:val="yellow"/>
        </w:rPr>
        <w:t>договора купли-продажи нефтепродуктов по талонам</w:t>
      </w:r>
      <w:r w:rsidR="0086422F" w:rsidRPr="00577264">
        <w:rPr>
          <w:sz w:val="26"/>
          <w:szCs w:val="26"/>
          <w:highlight w:val="yellow"/>
        </w:rPr>
        <w:t>:</w:t>
      </w:r>
    </w:p>
    <w:p w:rsidR="008E6316" w:rsidRPr="00577264" w:rsidRDefault="0077174C" w:rsidP="0077174C">
      <w:pPr>
        <w:pStyle w:val="3"/>
        <w:numPr>
          <w:ilvl w:val="0"/>
          <w:numId w:val="0"/>
        </w:numPr>
        <w:tabs>
          <w:tab w:val="left" w:pos="7245"/>
        </w:tabs>
        <w:spacing w:line="240" w:lineRule="auto"/>
        <w:ind w:left="792"/>
        <w:rPr>
          <w:sz w:val="26"/>
          <w:szCs w:val="26"/>
          <w:highlight w:val="yellow"/>
        </w:rPr>
      </w:pPr>
      <w:r w:rsidRPr="00577264">
        <w:rPr>
          <w:sz w:val="26"/>
          <w:szCs w:val="26"/>
          <w:highlight w:val="yellow"/>
        </w:rPr>
        <w:tab/>
      </w: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2126"/>
      </w:tblGrid>
      <w:tr w:rsidR="000930F5" w:rsidRPr="00577264" w:rsidTr="003B24F2">
        <w:trPr>
          <w:trHeight w:val="458"/>
        </w:trPr>
        <w:tc>
          <w:tcPr>
            <w:tcW w:w="4536" w:type="dxa"/>
            <w:vAlign w:val="center"/>
          </w:tcPr>
          <w:p w:rsidR="000930F5" w:rsidRPr="00577264" w:rsidRDefault="000930F5" w:rsidP="003B24F2">
            <w:pPr>
              <w:pStyle w:val="Style2"/>
              <w:widowControl/>
              <w:tabs>
                <w:tab w:val="left" w:leader="underscore" w:pos="1426"/>
                <w:tab w:val="left" w:leader="underscore" w:pos="9350"/>
              </w:tabs>
              <w:spacing w:before="82"/>
              <w:jc w:val="center"/>
              <w:rPr>
                <w:rStyle w:val="FontStyle11"/>
                <w:b/>
                <w:highlight w:val="yellow"/>
              </w:rPr>
            </w:pPr>
            <w:r w:rsidRPr="00577264">
              <w:rPr>
                <w:rStyle w:val="FontStyle12"/>
                <w:b/>
                <w:highlight w:val="yellow"/>
              </w:rPr>
              <w:t>Наименование товара</w:t>
            </w:r>
          </w:p>
        </w:tc>
        <w:tc>
          <w:tcPr>
            <w:tcW w:w="1843" w:type="dxa"/>
            <w:vAlign w:val="center"/>
          </w:tcPr>
          <w:p w:rsidR="000930F5" w:rsidRPr="00577264" w:rsidRDefault="000930F5" w:rsidP="003B24F2">
            <w:pPr>
              <w:pStyle w:val="Style2"/>
              <w:widowControl/>
              <w:tabs>
                <w:tab w:val="left" w:leader="underscore" w:pos="1426"/>
                <w:tab w:val="left" w:leader="underscore" w:pos="9350"/>
              </w:tabs>
              <w:jc w:val="center"/>
              <w:rPr>
                <w:rStyle w:val="FontStyle12"/>
                <w:b/>
                <w:highlight w:val="yellow"/>
              </w:rPr>
            </w:pPr>
            <w:r w:rsidRPr="00577264">
              <w:rPr>
                <w:rStyle w:val="FontStyle12"/>
                <w:b/>
                <w:highlight w:val="yellow"/>
              </w:rPr>
              <w:t>Единица</w:t>
            </w:r>
          </w:p>
          <w:p w:rsidR="000930F5" w:rsidRPr="00577264" w:rsidRDefault="000930F5" w:rsidP="003B24F2">
            <w:pPr>
              <w:pStyle w:val="Style2"/>
              <w:widowControl/>
              <w:tabs>
                <w:tab w:val="left" w:leader="underscore" w:pos="1426"/>
                <w:tab w:val="left" w:leader="underscore" w:pos="9350"/>
              </w:tabs>
              <w:jc w:val="center"/>
              <w:rPr>
                <w:rStyle w:val="FontStyle11"/>
                <w:b/>
                <w:highlight w:val="yellow"/>
              </w:rPr>
            </w:pPr>
            <w:r w:rsidRPr="00577264">
              <w:rPr>
                <w:rStyle w:val="FontStyle12"/>
                <w:b/>
                <w:highlight w:val="yellow"/>
              </w:rPr>
              <w:t>измерения</w:t>
            </w:r>
          </w:p>
        </w:tc>
        <w:tc>
          <w:tcPr>
            <w:tcW w:w="2126" w:type="dxa"/>
            <w:vAlign w:val="center"/>
          </w:tcPr>
          <w:p w:rsidR="000930F5" w:rsidRPr="000B5E81" w:rsidRDefault="000930F5" w:rsidP="003B24F2">
            <w:pPr>
              <w:pStyle w:val="Style2"/>
              <w:widowControl/>
              <w:tabs>
                <w:tab w:val="left" w:leader="underscore" w:pos="1426"/>
                <w:tab w:val="left" w:leader="underscore" w:pos="9350"/>
              </w:tabs>
              <w:jc w:val="center"/>
              <w:rPr>
                <w:rStyle w:val="FontStyle12"/>
                <w:b/>
                <w:highlight w:val="yellow"/>
              </w:rPr>
            </w:pPr>
            <w:r w:rsidRPr="000B5E81">
              <w:rPr>
                <w:rStyle w:val="FontStyle12"/>
                <w:b/>
                <w:highlight w:val="yellow"/>
              </w:rPr>
              <w:t>Предполагаемое количество*</w:t>
            </w:r>
          </w:p>
        </w:tc>
      </w:tr>
      <w:tr w:rsidR="00002D43" w:rsidRPr="00577264" w:rsidTr="00133E2C">
        <w:trPr>
          <w:trHeight w:val="195"/>
        </w:trPr>
        <w:tc>
          <w:tcPr>
            <w:tcW w:w="4536" w:type="dxa"/>
          </w:tcPr>
          <w:p w:rsidR="00002D43" w:rsidRPr="00577264" w:rsidRDefault="00002D43" w:rsidP="003B24F2">
            <w:pPr>
              <w:pStyle w:val="Style2"/>
              <w:widowControl/>
              <w:tabs>
                <w:tab w:val="left" w:leader="underscore" w:pos="1426"/>
                <w:tab w:val="left" w:leader="underscore" w:pos="9350"/>
              </w:tabs>
              <w:spacing w:before="82"/>
              <w:rPr>
                <w:rStyle w:val="FontStyle11"/>
                <w:highlight w:val="yellow"/>
              </w:rPr>
            </w:pPr>
            <w:r w:rsidRPr="00577264">
              <w:rPr>
                <w:rStyle w:val="FontStyle12"/>
                <w:highlight w:val="yellow"/>
              </w:rPr>
              <w:t>Автомобильный бензин АИ-92 (неэтилированный)</w:t>
            </w:r>
          </w:p>
        </w:tc>
        <w:tc>
          <w:tcPr>
            <w:tcW w:w="1843" w:type="dxa"/>
          </w:tcPr>
          <w:p w:rsidR="00002D43" w:rsidRPr="00577264" w:rsidRDefault="00002D43" w:rsidP="003B24F2">
            <w:pPr>
              <w:pStyle w:val="Style2"/>
              <w:widowControl/>
              <w:tabs>
                <w:tab w:val="left" w:leader="underscore" w:pos="1426"/>
                <w:tab w:val="left" w:leader="underscore" w:pos="9350"/>
              </w:tabs>
              <w:spacing w:before="82"/>
              <w:jc w:val="center"/>
              <w:rPr>
                <w:rStyle w:val="FontStyle11"/>
                <w:highlight w:val="yellow"/>
              </w:rPr>
            </w:pPr>
            <w:r w:rsidRPr="00577264">
              <w:rPr>
                <w:rStyle w:val="FontStyle12"/>
                <w:highlight w:val="yellow"/>
              </w:rPr>
              <w:t>литр</w:t>
            </w:r>
          </w:p>
        </w:tc>
        <w:tc>
          <w:tcPr>
            <w:tcW w:w="2126" w:type="dxa"/>
            <w:vAlign w:val="bottom"/>
          </w:tcPr>
          <w:p w:rsidR="00002D43" w:rsidRDefault="00FC5F09" w:rsidP="0076475A">
            <w:pPr>
              <w:jc w:val="center"/>
              <w:rPr>
                <w:rFonts w:ascii="Calibri" w:hAnsi="Calibri"/>
                <w:b/>
                <w:bCs/>
                <w:color w:val="000000"/>
              </w:rPr>
            </w:pPr>
            <w:r>
              <w:rPr>
                <w:rFonts w:ascii="Calibri" w:hAnsi="Calibri"/>
                <w:b/>
                <w:bCs/>
                <w:color w:val="000000"/>
              </w:rPr>
              <w:t>1</w:t>
            </w:r>
            <w:r w:rsidR="0076475A">
              <w:rPr>
                <w:rFonts w:ascii="Calibri" w:hAnsi="Calibri"/>
                <w:b/>
                <w:bCs/>
                <w:color w:val="000000"/>
              </w:rPr>
              <w:t>2</w:t>
            </w:r>
            <w:r>
              <w:rPr>
                <w:rFonts w:ascii="Calibri" w:hAnsi="Calibri"/>
                <w:b/>
                <w:bCs/>
                <w:color w:val="000000"/>
              </w:rPr>
              <w:t xml:space="preserve"> </w:t>
            </w:r>
            <w:r w:rsidR="0076475A">
              <w:rPr>
                <w:rFonts w:ascii="Calibri" w:hAnsi="Calibri"/>
                <w:b/>
                <w:bCs/>
                <w:color w:val="000000"/>
              </w:rPr>
              <w:t>0</w:t>
            </w:r>
            <w:r w:rsidR="00002D43">
              <w:rPr>
                <w:rFonts w:ascii="Calibri" w:hAnsi="Calibri"/>
                <w:b/>
                <w:bCs/>
                <w:color w:val="000000"/>
              </w:rPr>
              <w:t>00,00</w:t>
            </w:r>
          </w:p>
        </w:tc>
      </w:tr>
      <w:tr w:rsidR="00002D43" w:rsidRPr="00577264" w:rsidTr="00133E2C">
        <w:trPr>
          <w:trHeight w:val="450"/>
        </w:trPr>
        <w:tc>
          <w:tcPr>
            <w:tcW w:w="4536" w:type="dxa"/>
          </w:tcPr>
          <w:p w:rsidR="00002D43" w:rsidRPr="00577264" w:rsidRDefault="00002D43" w:rsidP="003B24F2">
            <w:pPr>
              <w:pStyle w:val="Style2"/>
              <w:widowControl/>
              <w:tabs>
                <w:tab w:val="left" w:leader="underscore" w:pos="1426"/>
                <w:tab w:val="left" w:leader="underscore" w:pos="9350"/>
              </w:tabs>
              <w:spacing w:before="82"/>
              <w:rPr>
                <w:rStyle w:val="FontStyle12"/>
                <w:highlight w:val="yellow"/>
              </w:rPr>
            </w:pPr>
            <w:r w:rsidRPr="00577264">
              <w:rPr>
                <w:rStyle w:val="FontStyle12"/>
                <w:highlight w:val="yellow"/>
              </w:rPr>
              <w:t>Автомобильный бензин АИ-95</w:t>
            </w:r>
          </w:p>
          <w:p w:rsidR="00002D43" w:rsidRPr="00577264" w:rsidRDefault="00002D43" w:rsidP="003A0034">
            <w:pPr>
              <w:pStyle w:val="Style2"/>
              <w:widowControl/>
              <w:tabs>
                <w:tab w:val="left" w:leader="underscore" w:pos="1426"/>
                <w:tab w:val="left" w:leader="underscore" w:pos="9350"/>
              </w:tabs>
              <w:spacing w:before="82"/>
              <w:rPr>
                <w:rStyle w:val="FontStyle11"/>
                <w:highlight w:val="yellow"/>
              </w:rPr>
            </w:pPr>
            <w:r w:rsidRPr="00577264">
              <w:rPr>
                <w:rStyle w:val="FontStyle12"/>
                <w:highlight w:val="yellow"/>
              </w:rPr>
              <w:t>(неэтилированный)</w:t>
            </w:r>
          </w:p>
        </w:tc>
        <w:tc>
          <w:tcPr>
            <w:tcW w:w="1843" w:type="dxa"/>
          </w:tcPr>
          <w:p w:rsidR="00002D43" w:rsidRPr="00577264" w:rsidRDefault="00002D43" w:rsidP="003B24F2">
            <w:pPr>
              <w:pStyle w:val="Style2"/>
              <w:widowControl/>
              <w:tabs>
                <w:tab w:val="left" w:leader="underscore" w:pos="1426"/>
                <w:tab w:val="left" w:leader="underscore" w:pos="9350"/>
              </w:tabs>
              <w:spacing w:before="82"/>
              <w:jc w:val="center"/>
              <w:rPr>
                <w:rStyle w:val="FontStyle11"/>
                <w:highlight w:val="yellow"/>
              </w:rPr>
            </w:pPr>
            <w:r w:rsidRPr="00577264">
              <w:rPr>
                <w:rStyle w:val="FontStyle12"/>
                <w:highlight w:val="yellow"/>
              </w:rPr>
              <w:t>литр</w:t>
            </w:r>
          </w:p>
        </w:tc>
        <w:tc>
          <w:tcPr>
            <w:tcW w:w="2126" w:type="dxa"/>
            <w:vAlign w:val="bottom"/>
          </w:tcPr>
          <w:p w:rsidR="00002D43" w:rsidRDefault="005E44D6" w:rsidP="005E44D6">
            <w:pPr>
              <w:jc w:val="center"/>
              <w:rPr>
                <w:rFonts w:ascii="Calibri" w:hAnsi="Calibri"/>
                <w:b/>
                <w:bCs/>
                <w:color w:val="000000"/>
              </w:rPr>
            </w:pPr>
            <w:r>
              <w:rPr>
                <w:rFonts w:ascii="Calibri" w:hAnsi="Calibri"/>
                <w:b/>
                <w:bCs/>
                <w:color w:val="000000"/>
              </w:rPr>
              <w:t>12</w:t>
            </w:r>
            <w:r w:rsidR="00002D43">
              <w:rPr>
                <w:rFonts w:ascii="Calibri" w:hAnsi="Calibri"/>
                <w:b/>
                <w:bCs/>
                <w:color w:val="000000"/>
              </w:rPr>
              <w:t xml:space="preserve"> </w:t>
            </w:r>
            <w:r>
              <w:rPr>
                <w:rFonts w:ascii="Calibri" w:hAnsi="Calibri"/>
                <w:b/>
                <w:bCs/>
                <w:color w:val="000000"/>
              </w:rPr>
              <w:t>0</w:t>
            </w:r>
            <w:r w:rsidR="00002D43">
              <w:rPr>
                <w:rFonts w:ascii="Calibri" w:hAnsi="Calibri"/>
                <w:b/>
                <w:bCs/>
                <w:color w:val="000000"/>
              </w:rPr>
              <w:t>00,00</w:t>
            </w:r>
          </w:p>
        </w:tc>
      </w:tr>
      <w:tr w:rsidR="00002D43" w:rsidRPr="00577264" w:rsidTr="00133E2C">
        <w:trPr>
          <w:trHeight w:val="450"/>
        </w:trPr>
        <w:tc>
          <w:tcPr>
            <w:tcW w:w="4536" w:type="dxa"/>
          </w:tcPr>
          <w:p w:rsidR="00002D43" w:rsidRPr="00577264" w:rsidRDefault="00002D43" w:rsidP="003B24F2">
            <w:pPr>
              <w:pStyle w:val="Style2"/>
              <w:widowControl/>
              <w:tabs>
                <w:tab w:val="left" w:leader="underscore" w:pos="1426"/>
                <w:tab w:val="left" w:leader="underscore" w:pos="9350"/>
              </w:tabs>
              <w:spacing w:before="82"/>
              <w:rPr>
                <w:rStyle w:val="FontStyle12"/>
                <w:highlight w:val="yellow"/>
              </w:rPr>
            </w:pPr>
            <w:r w:rsidRPr="00577264">
              <w:rPr>
                <w:rStyle w:val="FontStyle12"/>
                <w:highlight w:val="yellow"/>
              </w:rPr>
              <w:t>Автомобильный бензин АИ-80 (неэтилированный)</w:t>
            </w:r>
          </w:p>
        </w:tc>
        <w:tc>
          <w:tcPr>
            <w:tcW w:w="1843" w:type="dxa"/>
          </w:tcPr>
          <w:p w:rsidR="00002D43" w:rsidRPr="00577264" w:rsidRDefault="00002D43" w:rsidP="003B24F2">
            <w:pPr>
              <w:pStyle w:val="Style2"/>
              <w:widowControl/>
              <w:tabs>
                <w:tab w:val="left" w:leader="underscore" w:pos="1426"/>
                <w:tab w:val="left" w:leader="underscore" w:pos="9350"/>
              </w:tabs>
              <w:spacing w:before="82"/>
              <w:jc w:val="center"/>
              <w:rPr>
                <w:rStyle w:val="FontStyle12"/>
                <w:highlight w:val="yellow"/>
              </w:rPr>
            </w:pPr>
            <w:r w:rsidRPr="00577264">
              <w:rPr>
                <w:rStyle w:val="FontStyle12"/>
                <w:highlight w:val="yellow"/>
              </w:rPr>
              <w:t>литр</w:t>
            </w:r>
          </w:p>
        </w:tc>
        <w:tc>
          <w:tcPr>
            <w:tcW w:w="2126" w:type="dxa"/>
            <w:vAlign w:val="bottom"/>
          </w:tcPr>
          <w:p w:rsidR="00002D43" w:rsidRDefault="0076475A" w:rsidP="0076475A">
            <w:pPr>
              <w:jc w:val="center"/>
              <w:rPr>
                <w:rFonts w:ascii="Calibri" w:hAnsi="Calibri"/>
                <w:b/>
                <w:bCs/>
                <w:color w:val="000000"/>
              </w:rPr>
            </w:pPr>
            <w:r>
              <w:rPr>
                <w:rFonts w:ascii="Calibri" w:hAnsi="Calibri"/>
                <w:b/>
                <w:bCs/>
                <w:color w:val="000000"/>
              </w:rPr>
              <w:t>15</w:t>
            </w:r>
            <w:r w:rsidR="00002D43">
              <w:rPr>
                <w:rFonts w:ascii="Calibri" w:hAnsi="Calibri"/>
                <w:b/>
                <w:bCs/>
                <w:color w:val="000000"/>
              </w:rPr>
              <w:t xml:space="preserve"> </w:t>
            </w:r>
            <w:r>
              <w:rPr>
                <w:rFonts w:ascii="Calibri" w:hAnsi="Calibri"/>
                <w:b/>
                <w:bCs/>
                <w:color w:val="000000"/>
              </w:rPr>
              <w:t>0</w:t>
            </w:r>
            <w:r w:rsidR="00002D43">
              <w:rPr>
                <w:rFonts w:ascii="Calibri" w:hAnsi="Calibri"/>
                <w:b/>
                <w:bCs/>
                <w:color w:val="000000"/>
              </w:rPr>
              <w:t>00,00</w:t>
            </w:r>
          </w:p>
        </w:tc>
      </w:tr>
      <w:tr w:rsidR="00002D43" w:rsidRPr="0052695C" w:rsidTr="0052695C">
        <w:trPr>
          <w:trHeight w:val="465"/>
        </w:trPr>
        <w:tc>
          <w:tcPr>
            <w:tcW w:w="4536" w:type="dxa"/>
          </w:tcPr>
          <w:p w:rsidR="00002D43" w:rsidRPr="00577264" w:rsidRDefault="00002D43" w:rsidP="003B24F2">
            <w:pPr>
              <w:pStyle w:val="Style2"/>
              <w:widowControl/>
              <w:tabs>
                <w:tab w:val="left" w:leader="underscore" w:pos="1426"/>
                <w:tab w:val="left" w:leader="underscore" w:pos="9350"/>
              </w:tabs>
              <w:spacing w:before="82"/>
              <w:rPr>
                <w:rStyle w:val="FontStyle11"/>
                <w:highlight w:val="yellow"/>
              </w:rPr>
            </w:pPr>
            <w:r w:rsidRPr="00577264">
              <w:rPr>
                <w:rStyle w:val="FontStyle12"/>
                <w:highlight w:val="yellow"/>
              </w:rPr>
              <w:t xml:space="preserve">Дизельное топливо ЕВРО (в соответствии с требованиями к предельной температуре </w:t>
            </w:r>
            <w:proofErr w:type="spellStart"/>
            <w:r w:rsidRPr="00577264">
              <w:rPr>
                <w:rStyle w:val="FontStyle12"/>
                <w:highlight w:val="yellow"/>
              </w:rPr>
              <w:t>фильтруемости</w:t>
            </w:r>
            <w:proofErr w:type="spellEnd"/>
            <w:r w:rsidRPr="00577264">
              <w:rPr>
                <w:rStyle w:val="FontStyle12"/>
                <w:highlight w:val="yellow"/>
              </w:rPr>
              <w:t xml:space="preserve">) </w:t>
            </w:r>
          </w:p>
        </w:tc>
        <w:tc>
          <w:tcPr>
            <w:tcW w:w="1843" w:type="dxa"/>
          </w:tcPr>
          <w:p w:rsidR="00002D43" w:rsidRPr="00577264" w:rsidRDefault="00002D43" w:rsidP="003B24F2">
            <w:pPr>
              <w:pStyle w:val="Style2"/>
              <w:widowControl/>
              <w:tabs>
                <w:tab w:val="left" w:leader="underscore" w:pos="1426"/>
                <w:tab w:val="left" w:leader="underscore" w:pos="9350"/>
              </w:tabs>
              <w:spacing w:before="82"/>
              <w:jc w:val="center"/>
              <w:rPr>
                <w:rStyle w:val="FontStyle11"/>
                <w:highlight w:val="yellow"/>
              </w:rPr>
            </w:pPr>
            <w:r w:rsidRPr="00577264">
              <w:rPr>
                <w:rStyle w:val="FontStyle12"/>
                <w:highlight w:val="yellow"/>
              </w:rPr>
              <w:t>литр</w:t>
            </w:r>
          </w:p>
        </w:tc>
        <w:tc>
          <w:tcPr>
            <w:tcW w:w="2126" w:type="dxa"/>
            <w:shd w:val="clear" w:color="auto" w:fill="auto"/>
            <w:vAlign w:val="bottom"/>
          </w:tcPr>
          <w:p w:rsidR="00002D43" w:rsidRPr="0052695C" w:rsidRDefault="005E44D6" w:rsidP="00341CA2">
            <w:pPr>
              <w:jc w:val="center"/>
              <w:rPr>
                <w:rFonts w:ascii="Calibri" w:hAnsi="Calibri"/>
                <w:b/>
                <w:bCs/>
                <w:color w:val="000000"/>
              </w:rPr>
            </w:pPr>
            <w:r>
              <w:rPr>
                <w:rFonts w:ascii="Calibri" w:hAnsi="Calibri"/>
                <w:b/>
                <w:bCs/>
                <w:color w:val="000000"/>
              </w:rPr>
              <w:t>6</w:t>
            </w:r>
            <w:r w:rsidR="00002D43" w:rsidRPr="0052695C">
              <w:rPr>
                <w:rFonts w:ascii="Calibri" w:hAnsi="Calibri"/>
                <w:b/>
                <w:bCs/>
                <w:color w:val="000000"/>
              </w:rPr>
              <w:t xml:space="preserve"> </w:t>
            </w:r>
            <w:r w:rsidR="00341CA2">
              <w:rPr>
                <w:rFonts w:ascii="Calibri" w:hAnsi="Calibri"/>
                <w:b/>
                <w:bCs/>
                <w:color w:val="000000"/>
              </w:rPr>
              <w:t>0</w:t>
            </w:r>
            <w:r w:rsidR="00002D43" w:rsidRPr="0052695C">
              <w:rPr>
                <w:rFonts w:ascii="Calibri" w:hAnsi="Calibri"/>
                <w:b/>
                <w:bCs/>
                <w:color w:val="000000"/>
              </w:rPr>
              <w:t>00,00</w:t>
            </w:r>
          </w:p>
        </w:tc>
      </w:tr>
    </w:tbl>
    <w:p w:rsidR="000930F5" w:rsidRPr="00577264" w:rsidRDefault="000930F5" w:rsidP="000930F5">
      <w:pPr>
        <w:pStyle w:val="ac"/>
        <w:ind w:left="360" w:firstLine="633"/>
        <w:rPr>
          <w:sz w:val="24"/>
          <w:szCs w:val="24"/>
          <w:highlight w:val="yellow"/>
        </w:rPr>
      </w:pPr>
      <w:r w:rsidRPr="00577264">
        <w:rPr>
          <w:rStyle w:val="FontStyle11"/>
          <w:sz w:val="24"/>
          <w:szCs w:val="24"/>
          <w:highlight w:val="yellow"/>
        </w:rPr>
        <w:t>*</w:t>
      </w:r>
      <w:r w:rsidRPr="00577264">
        <w:rPr>
          <w:sz w:val="24"/>
          <w:szCs w:val="24"/>
          <w:highlight w:val="yellow"/>
        </w:rPr>
        <w:t>Объем товара в месяц определяется согласно потребности.</w:t>
      </w:r>
    </w:p>
    <w:p w:rsidR="002B1E60" w:rsidRPr="00577264" w:rsidRDefault="002B1E60" w:rsidP="00A57C58">
      <w:pPr>
        <w:pStyle w:val="3"/>
        <w:numPr>
          <w:ilvl w:val="0"/>
          <w:numId w:val="0"/>
        </w:numPr>
        <w:spacing w:line="240" w:lineRule="auto"/>
        <w:ind w:left="284"/>
        <w:jc w:val="left"/>
        <w:rPr>
          <w:sz w:val="26"/>
          <w:szCs w:val="26"/>
          <w:highlight w:val="yellow"/>
        </w:rPr>
      </w:pPr>
    </w:p>
    <w:p w:rsidR="00E746A3" w:rsidRPr="00577264" w:rsidRDefault="00E746A3" w:rsidP="00CA7251">
      <w:pPr>
        <w:pStyle w:val="3"/>
        <w:numPr>
          <w:ilvl w:val="1"/>
          <w:numId w:val="3"/>
        </w:numPr>
        <w:spacing w:line="240" w:lineRule="auto"/>
        <w:rPr>
          <w:sz w:val="26"/>
          <w:szCs w:val="26"/>
          <w:highlight w:val="yellow"/>
        </w:rPr>
      </w:pPr>
      <w:r w:rsidRPr="00577264">
        <w:rPr>
          <w:bCs/>
          <w:highlight w:val="yellow"/>
        </w:rPr>
        <w:t>Нефтепродукты должны соответствовать классу не ниже 3 по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r w:rsidR="00CA7251" w:rsidRPr="00577264">
        <w:rPr>
          <w:bCs/>
          <w:highlight w:val="yellow"/>
        </w:rPr>
        <w:t xml:space="preserve"> </w:t>
      </w:r>
      <w:r w:rsidRPr="00577264">
        <w:rPr>
          <w:bCs/>
          <w:highlight w:val="yellow"/>
        </w:rPr>
        <w:t>и ТУ 38.401-58-171-96 с изм. 9, 10</w:t>
      </w:r>
      <w:r w:rsidR="00CA7251" w:rsidRPr="00577264">
        <w:rPr>
          <w:bCs/>
          <w:highlight w:val="yellow"/>
        </w:rPr>
        <w:t xml:space="preserve"> </w:t>
      </w:r>
      <w:r w:rsidR="00CA7251" w:rsidRPr="00577264">
        <w:rPr>
          <w:highlight w:val="yellow"/>
        </w:rPr>
        <w:t>(Постановление Правительства РФ от 27 февраля 2008 г. № 118)</w:t>
      </w:r>
      <w:r w:rsidR="00577264" w:rsidRPr="00577264">
        <w:rPr>
          <w:highlight w:val="yellow"/>
        </w:rPr>
        <w:t>.</w:t>
      </w:r>
    </w:p>
    <w:p w:rsidR="00E746A3" w:rsidRPr="00E746A3" w:rsidRDefault="00E746A3" w:rsidP="00E746A3">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w:t>
      </w:r>
      <w:r w:rsidR="004873C9">
        <w:rPr>
          <w:sz w:val="26"/>
          <w:szCs w:val="26"/>
        </w:rPr>
        <w:t>ми</w:t>
      </w:r>
      <w:r w:rsidR="000C1F8C" w:rsidRPr="00BD1EED">
        <w:rPr>
          <w:sz w:val="26"/>
          <w:szCs w:val="26"/>
        </w:rPr>
        <w:t xml:space="preserve">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Default="008C56CD" w:rsidP="008C56CD">
      <w:pPr>
        <w:pStyle w:val="a8"/>
        <w:spacing w:before="0" w:line="240" w:lineRule="auto"/>
        <w:rPr>
          <w:sz w:val="26"/>
          <w:szCs w:val="26"/>
        </w:rPr>
      </w:pPr>
    </w:p>
    <w:p w:rsidR="00B603D6" w:rsidRPr="00E86730" w:rsidRDefault="00B603D6" w:rsidP="00B603D6">
      <w:pPr>
        <w:pStyle w:val="a8"/>
        <w:numPr>
          <w:ilvl w:val="0"/>
          <w:numId w:val="5"/>
        </w:numPr>
        <w:rPr>
          <w:snapToGrid w:val="0"/>
          <w:sz w:val="24"/>
        </w:rPr>
      </w:pPr>
      <w:r w:rsidRPr="00E86730">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E86730" w:rsidRDefault="00B603D6" w:rsidP="00B603D6">
      <w:pPr>
        <w:pStyle w:val="a8"/>
        <w:numPr>
          <w:ilvl w:val="0"/>
          <w:numId w:val="5"/>
        </w:numPr>
        <w:spacing w:before="0" w:line="240" w:lineRule="auto"/>
        <w:rPr>
          <w:sz w:val="24"/>
          <w:u w:val="single"/>
        </w:rPr>
      </w:pPr>
      <w:r w:rsidRPr="00E86730">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E86730">
        <w:rPr>
          <w:b/>
          <w:sz w:val="24"/>
        </w:rPr>
        <w:t>выписку из единого государственного реестра юридических лиц</w:t>
      </w:r>
      <w:r w:rsidRPr="00E86730">
        <w:rPr>
          <w:sz w:val="24"/>
        </w:rPr>
        <w:t xml:space="preserve"> или нотариально заверенную копию такой выписки;</w:t>
      </w:r>
    </w:p>
    <w:p w:rsidR="00B603D6" w:rsidRPr="00E86730" w:rsidRDefault="00B603D6" w:rsidP="00B603D6">
      <w:pPr>
        <w:pStyle w:val="ac"/>
        <w:rPr>
          <w:sz w:val="24"/>
          <w:szCs w:val="24"/>
        </w:rPr>
      </w:pPr>
    </w:p>
    <w:p w:rsidR="00B603D6" w:rsidRPr="00E86730"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lastRenderedPageBreak/>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 xml:space="preserve">В случае если от имени участника закупок действует иное лицо, заявка на участие в </w:t>
      </w:r>
      <w:r>
        <w:rPr>
          <w:rFonts w:ascii="Times New Roman" w:eastAsia="Times New Roman" w:hAnsi="Times New Roman" w:cs="Times New Roman"/>
          <w:sz w:val="24"/>
          <w:szCs w:val="24"/>
          <w:highlight w:val="yellow"/>
          <w:lang w:eastAsia="ru-RU"/>
        </w:rPr>
        <w:t>закупке</w:t>
      </w:r>
      <w:r w:rsidRPr="00E86730">
        <w:rPr>
          <w:rFonts w:ascii="Times New Roman" w:eastAsia="Times New Roman" w:hAnsi="Times New Roman" w:cs="Times New Roman"/>
          <w:sz w:val="24"/>
          <w:szCs w:val="24"/>
          <w:highlight w:val="yellow"/>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E86730">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B603D6" w:rsidRPr="00E86730" w:rsidRDefault="00B603D6" w:rsidP="00B603D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B603D6" w:rsidRPr="00E86730"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6730">
        <w:rPr>
          <w:rFonts w:ascii="Times New Roman" w:eastAsia="Times New Roman" w:hAnsi="Times New Roman" w:cs="Times New Roman"/>
          <w:sz w:val="24"/>
          <w:szCs w:val="24"/>
          <w:highlight w:val="yellow"/>
          <w:lang w:eastAsia="ru-RU"/>
        </w:rPr>
        <w:t>иностранного лица)) (для юридических лиц),</w:t>
      </w:r>
      <w:r w:rsidRPr="00E86730">
        <w:rPr>
          <w:rFonts w:ascii="Times New Roman" w:eastAsia="Times New Roman" w:hAnsi="Times New Roman" w:cs="Times New Roman"/>
          <w:snapToGrid w:val="0"/>
          <w:sz w:val="24"/>
          <w:szCs w:val="24"/>
          <w:highlight w:val="yellow"/>
          <w:lang w:eastAsia="ru-RU"/>
        </w:rPr>
        <w:t xml:space="preserve"> 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E86730"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E86730"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E86730"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E86730"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E86730">
        <w:rPr>
          <w:rFonts w:ascii="Times New Roman" w:eastAsia="Times New Roman" w:hAnsi="Times New Roman" w:cs="Times New Roman"/>
          <w:snapToGrid w:val="0"/>
          <w:sz w:val="24"/>
          <w:szCs w:val="24"/>
          <w:highlight w:val="yellow"/>
          <w:lang w:eastAsia="ru-RU"/>
        </w:rPr>
        <w:t xml:space="preserve">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86730">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B603D6" w:rsidRPr="00E86730" w:rsidRDefault="00B603D6" w:rsidP="00B603D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B603D6" w:rsidRPr="00E86730"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E86730"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86730"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7D4867">
        <w:rPr>
          <w:rFonts w:ascii="Times New Roman" w:eastAsia="Times New Roman" w:hAnsi="Times New Roman" w:cs="Times New Roman"/>
          <w:sz w:val="24"/>
          <w:szCs w:val="24"/>
          <w:highlight w:val="yellow"/>
          <w:u w:val="single"/>
          <w:lang w:eastAsia="ru-RU"/>
        </w:rPr>
        <w:t>или письменное подтверждение Участника закупки</w:t>
      </w:r>
      <w:r w:rsidRPr="00E86730">
        <w:rPr>
          <w:rFonts w:ascii="Times New Roman" w:eastAsia="Times New Roman" w:hAnsi="Times New Roman" w:cs="Times New Roman"/>
          <w:sz w:val="24"/>
          <w:szCs w:val="24"/>
          <w:highlight w:val="yellow"/>
          <w:lang w:eastAsia="ru-RU"/>
        </w:rPr>
        <w:t xml:space="preserve"> по всем рассматриваемым случаям, дата выдачи которых не превышает 30 (тридцать) суток с даты</w:t>
      </w:r>
      <w:proofErr w:type="gramEnd"/>
      <w:r w:rsidRPr="00E86730">
        <w:rPr>
          <w:rFonts w:ascii="Times New Roman" w:eastAsia="Times New Roman" w:hAnsi="Times New Roman" w:cs="Times New Roman"/>
          <w:sz w:val="24"/>
          <w:szCs w:val="24"/>
          <w:highlight w:val="yellow"/>
          <w:lang w:eastAsia="ru-RU"/>
        </w:rPr>
        <w:t xml:space="preserve"> приема материалов на закупку;</w:t>
      </w:r>
    </w:p>
    <w:p w:rsidR="00B603D6" w:rsidRPr="00E86730"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86730" w:rsidRDefault="00B603D6" w:rsidP="00B603D6">
      <w:pPr>
        <w:pStyle w:val="a8"/>
        <w:numPr>
          <w:ilvl w:val="0"/>
          <w:numId w:val="5"/>
        </w:numPr>
        <w:spacing w:before="0" w:line="240" w:lineRule="auto"/>
        <w:rPr>
          <w:sz w:val="24"/>
          <w:highlight w:val="yellow"/>
        </w:rPr>
      </w:pPr>
      <w:r w:rsidRPr="00E86730">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B603D6" w:rsidRPr="00E86730" w:rsidRDefault="00B603D6" w:rsidP="00B603D6">
      <w:pPr>
        <w:pStyle w:val="a8"/>
        <w:spacing w:before="0" w:line="240" w:lineRule="auto"/>
        <w:ind w:left="720"/>
        <w:rPr>
          <w:sz w:val="24"/>
        </w:rPr>
      </w:pPr>
    </w:p>
    <w:p w:rsidR="00B603D6" w:rsidRPr="00E86730" w:rsidRDefault="00B603D6" w:rsidP="00B603D6">
      <w:pPr>
        <w:pStyle w:val="a8"/>
        <w:numPr>
          <w:ilvl w:val="2"/>
          <w:numId w:val="3"/>
        </w:numPr>
        <w:tabs>
          <w:tab w:val="left" w:pos="1701"/>
        </w:tabs>
        <w:spacing w:before="0" w:line="240" w:lineRule="auto"/>
        <w:rPr>
          <w:sz w:val="24"/>
        </w:rPr>
      </w:pPr>
      <w:r w:rsidRPr="00E86730">
        <w:rPr>
          <w:sz w:val="24"/>
        </w:rPr>
        <w:t>все заполненные приложения к заявке;</w:t>
      </w:r>
    </w:p>
    <w:p w:rsidR="00B603D6" w:rsidRPr="00E86730" w:rsidRDefault="00B603D6" w:rsidP="00B603D6">
      <w:pPr>
        <w:pStyle w:val="a8"/>
        <w:spacing w:before="0" w:line="240" w:lineRule="auto"/>
        <w:rPr>
          <w:sz w:val="24"/>
        </w:rPr>
      </w:pPr>
    </w:p>
    <w:p w:rsidR="00B603D6" w:rsidRDefault="00B603D6" w:rsidP="00B603D6">
      <w:pPr>
        <w:pStyle w:val="a8"/>
        <w:numPr>
          <w:ilvl w:val="2"/>
          <w:numId w:val="3"/>
        </w:numPr>
        <w:tabs>
          <w:tab w:val="left" w:pos="1701"/>
          <w:tab w:val="left" w:pos="1985"/>
        </w:tabs>
        <w:spacing w:before="0" w:line="240" w:lineRule="auto"/>
        <w:rPr>
          <w:sz w:val="24"/>
        </w:rPr>
      </w:pPr>
      <w:r w:rsidRPr="00E86730">
        <w:rPr>
          <w:sz w:val="24"/>
        </w:rPr>
        <w:t>документы или копии документов, подтверждающих право участника осуществлять предусмотренную договором деятельность;</w:t>
      </w:r>
    </w:p>
    <w:p w:rsidR="007D4867" w:rsidRDefault="007D4867" w:rsidP="007D4867">
      <w:pPr>
        <w:pStyle w:val="ac"/>
        <w:rPr>
          <w:sz w:val="24"/>
        </w:rPr>
      </w:pPr>
    </w:p>
    <w:p w:rsidR="007D4867" w:rsidRDefault="007D4867" w:rsidP="007D4867">
      <w:pPr>
        <w:pStyle w:val="a8"/>
        <w:numPr>
          <w:ilvl w:val="2"/>
          <w:numId w:val="3"/>
        </w:numPr>
        <w:tabs>
          <w:tab w:val="left" w:pos="1701"/>
          <w:tab w:val="left" w:pos="1985"/>
        </w:tabs>
        <w:spacing w:before="0" w:line="240" w:lineRule="auto"/>
        <w:rPr>
          <w:sz w:val="26"/>
          <w:szCs w:val="26"/>
        </w:rPr>
      </w:pPr>
      <w:r w:rsidRPr="002611F7">
        <w:rPr>
          <w:sz w:val="26"/>
          <w:szCs w:val="26"/>
        </w:rPr>
        <w:t>документы, подтверждающие соответствие пред</w:t>
      </w:r>
      <w:r>
        <w:rPr>
          <w:sz w:val="26"/>
          <w:szCs w:val="26"/>
        </w:rPr>
        <w:t>лагаемой продукции</w:t>
      </w:r>
      <w:r w:rsidRPr="002611F7">
        <w:rPr>
          <w:sz w:val="26"/>
          <w:szCs w:val="26"/>
        </w:rPr>
        <w:t xml:space="preserve"> требованиям</w:t>
      </w:r>
      <w:r>
        <w:rPr>
          <w:sz w:val="26"/>
          <w:szCs w:val="26"/>
        </w:rPr>
        <w:t>, установленным законодательством РФ к данной продукции и настоящей документацией</w:t>
      </w:r>
      <w:r w:rsidRPr="002611F7">
        <w:rPr>
          <w:sz w:val="26"/>
          <w:szCs w:val="26"/>
        </w:rPr>
        <w:t>, сертификаты (паспорта) качества на продукцию и т.д.</w:t>
      </w:r>
    </w:p>
    <w:p w:rsidR="007D4867" w:rsidRPr="00BC0A0D" w:rsidRDefault="007D4867" w:rsidP="007D4867">
      <w:pPr>
        <w:pStyle w:val="ac"/>
        <w:rPr>
          <w:sz w:val="26"/>
          <w:szCs w:val="26"/>
        </w:rPr>
      </w:pPr>
    </w:p>
    <w:p w:rsidR="007D4867" w:rsidRPr="00002D43" w:rsidRDefault="007D4867" w:rsidP="007D4867">
      <w:pPr>
        <w:pStyle w:val="a8"/>
        <w:numPr>
          <w:ilvl w:val="2"/>
          <w:numId w:val="3"/>
        </w:numPr>
        <w:tabs>
          <w:tab w:val="left" w:pos="1701"/>
          <w:tab w:val="left" w:pos="1985"/>
        </w:tabs>
        <w:spacing w:before="0" w:line="240" w:lineRule="auto"/>
        <w:rPr>
          <w:sz w:val="26"/>
          <w:szCs w:val="26"/>
          <w:highlight w:val="yellow"/>
        </w:rPr>
      </w:pPr>
      <w:r w:rsidRPr="00002D43">
        <w:rPr>
          <w:sz w:val="26"/>
          <w:szCs w:val="26"/>
          <w:highlight w:val="yellow"/>
        </w:rPr>
        <w:t>Перечень АЗС с указанием адресов  и графиков работы.</w:t>
      </w:r>
    </w:p>
    <w:p w:rsidR="00B603D6" w:rsidRPr="00C0422C" w:rsidRDefault="00B603D6" w:rsidP="00B603D6">
      <w:pPr>
        <w:pStyle w:val="a8"/>
        <w:tabs>
          <w:tab w:val="left" w:pos="993"/>
          <w:tab w:val="left" w:pos="1701"/>
          <w:tab w:val="left" w:pos="1985"/>
        </w:tabs>
        <w:spacing w:before="0" w:line="240" w:lineRule="auto"/>
        <w:ind w:left="1224"/>
        <w:rPr>
          <w:snapToGrid w:val="0"/>
          <w:sz w:val="24"/>
        </w:rPr>
      </w:pPr>
    </w:p>
    <w:p w:rsidR="00B603D6" w:rsidRDefault="00B603D6" w:rsidP="00B603D6">
      <w:pPr>
        <w:pStyle w:val="a8"/>
        <w:numPr>
          <w:ilvl w:val="2"/>
          <w:numId w:val="3"/>
        </w:numPr>
        <w:tabs>
          <w:tab w:val="left" w:pos="1701"/>
          <w:tab w:val="left" w:pos="1985"/>
        </w:tabs>
        <w:spacing w:before="0" w:line="240" w:lineRule="auto"/>
        <w:rPr>
          <w:sz w:val="24"/>
        </w:rPr>
      </w:pPr>
      <w:r w:rsidRPr="00E86730">
        <w:rPr>
          <w:sz w:val="24"/>
        </w:rPr>
        <w:t>иные документы на усмотрение участника (положительные рекомендации).</w:t>
      </w:r>
    </w:p>
    <w:p w:rsidR="00B603D6" w:rsidRPr="00E86730" w:rsidRDefault="00B603D6" w:rsidP="00B603D6">
      <w:pPr>
        <w:pStyle w:val="ac"/>
        <w:rPr>
          <w:sz w:val="24"/>
          <w:szCs w:val="24"/>
          <w:highlight w:val="yellow"/>
        </w:rPr>
      </w:pPr>
    </w:p>
    <w:p w:rsidR="00B603D6" w:rsidRPr="00E86730" w:rsidRDefault="00B603D6" w:rsidP="00B603D6">
      <w:pPr>
        <w:pStyle w:val="3"/>
        <w:numPr>
          <w:ilvl w:val="1"/>
          <w:numId w:val="3"/>
        </w:numPr>
        <w:tabs>
          <w:tab w:val="left" w:pos="993"/>
        </w:tabs>
        <w:spacing w:line="240" w:lineRule="auto"/>
        <w:rPr>
          <w:b/>
          <w:sz w:val="24"/>
          <w:szCs w:val="24"/>
          <w:highlight w:val="yellow"/>
        </w:rPr>
      </w:pPr>
      <w:r w:rsidRPr="00E86730">
        <w:rPr>
          <w:b/>
          <w:sz w:val="24"/>
          <w:szCs w:val="24"/>
          <w:highlight w:val="yellow"/>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Pr>
          <w:b/>
          <w:sz w:val="24"/>
          <w:szCs w:val="24"/>
          <w:highlight w:val="yellow"/>
        </w:rPr>
        <w:t>закупочной</w:t>
      </w:r>
      <w:r w:rsidRPr="00E86730">
        <w:rPr>
          <w:b/>
          <w:sz w:val="24"/>
          <w:szCs w:val="24"/>
          <w:highlight w:val="yellow"/>
        </w:rPr>
        <w:t xml:space="preserve"> комиссией от участия в </w:t>
      </w:r>
      <w:r>
        <w:rPr>
          <w:b/>
          <w:sz w:val="24"/>
          <w:szCs w:val="24"/>
          <w:highlight w:val="yellow"/>
        </w:rPr>
        <w:t>закупке</w:t>
      </w:r>
      <w:r w:rsidRPr="00E86730">
        <w:rPr>
          <w:b/>
          <w:sz w:val="24"/>
          <w:szCs w:val="24"/>
          <w:highlight w:val="yellow"/>
        </w:rPr>
        <w:t xml:space="preserve"> на любом этапе его проведения.</w:t>
      </w:r>
    </w:p>
    <w:p w:rsidR="003F50CD" w:rsidRDefault="003F50CD" w:rsidP="003F50CD">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E61202" w:rsidRPr="00E61202"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w:t>
      </w:r>
      <w:r w:rsidR="00E61202">
        <w:rPr>
          <w:sz w:val="26"/>
          <w:szCs w:val="26"/>
        </w:rPr>
        <w:t xml:space="preserve"> - г. Королев</w:t>
      </w:r>
      <w:r w:rsidRPr="00BD1EED">
        <w:rPr>
          <w:sz w:val="26"/>
          <w:szCs w:val="26"/>
        </w:rPr>
        <w:t xml:space="preserve">, </w:t>
      </w:r>
    </w:p>
    <w:p w:rsidR="000A4D22" w:rsidRPr="00BD1EED" w:rsidRDefault="00E61202" w:rsidP="00C902BF">
      <w:pPr>
        <w:pStyle w:val="3"/>
        <w:numPr>
          <w:ilvl w:val="1"/>
          <w:numId w:val="3"/>
        </w:numPr>
        <w:tabs>
          <w:tab w:val="left" w:pos="993"/>
        </w:tabs>
        <w:spacing w:line="240" w:lineRule="auto"/>
        <w:rPr>
          <w:color w:val="000000"/>
          <w:sz w:val="26"/>
          <w:szCs w:val="26"/>
        </w:rPr>
      </w:pPr>
      <w:r>
        <w:rPr>
          <w:sz w:val="26"/>
          <w:szCs w:val="26"/>
        </w:rPr>
        <w:t>У</w:t>
      </w:r>
      <w:r w:rsidR="00D3127F" w:rsidRPr="00BD1EED">
        <w:rPr>
          <w:sz w:val="26"/>
          <w:szCs w:val="26"/>
        </w:rPr>
        <w:t xml:space="preserve">словия и сроки </w:t>
      </w:r>
      <w:r w:rsidR="004F23B7">
        <w:rPr>
          <w:sz w:val="26"/>
          <w:szCs w:val="26"/>
        </w:rPr>
        <w:t>(периоды)</w:t>
      </w:r>
      <w:r w:rsidR="00D3127F" w:rsidRPr="00BD1EED">
        <w:rPr>
          <w:sz w:val="26"/>
          <w:szCs w:val="26"/>
        </w:rPr>
        <w:t xml:space="preserve"> </w:t>
      </w:r>
      <w:r w:rsidR="004F23B7">
        <w:rPr>
          <w:sz w:val="26"/>
          <w:szCs w:val="26"/>
        </w:rPr>
        <w:t xml:space="preserve">поставки товара </w:t>
      </w:r>
      <w:r>
        <w:rPr>
          <w:sz w:val="26"/>
          <w:szCs w:val="26"/>
        </w:rPr>
        <w:t xml:space="preserve">– 02 октября 2014г. по 31 марта 2015 г. </w:t>
      </w: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w:t>
      </w:r>
      <w:r w:rsidR="000C1F8C" w:rsidRPr="00BD1EED">
        <w:rPr>
          <w:sz w:val="26"/>
          <w:szCs w:val="26"/>
        </w:rPr>
        <w:lastRenderedPageBreak/>
        <w:t xml:space="preserve">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r w:rsidR="00E41CE8">
        <w:rPr>
          <w:b/>
          <w:sz w:val="26"/>
          <w:szCs w:val="26"/>
        </w:rPr>
        <w:t>.</w:t>
      </w:r>
    </w:p>
    <w:p w:rsidR="000A4D22" w:rsidRPr="00BD1EED" w:rsidRDefault="000A4D22" w:rsidP="00B03095">
      <w:pPr>
        <w:pStyle w:val="a8"/>
        <w:spacing w:before="0" w:line="240" w:lineRule="auto"/>
        <w:rPr>
          <w:sz w:val="26"/>
          <w:szCs w:val="26"/>
        </w:rPr>
      </w:pPr>
    </w:p>
    <w:p w:rsidR="000F1FD0" w:rsidRDefault="00293CDE" w:rsidP="000F1FD0">
      <w:pPr>
        <w:pStyle w:val="3"/>
        <w:numPr>
          <w:ilvl w:val="1"/>
          <w:numId w:val="3"/>
        </w:numPr>
        <w:tabs>
          <w:tab w:val="left" w:pos="993"/>
        </w:tabs>
        <w:spacing w:line="240" w:lineRule="auto"/>
        <w:rPr>
          <w:sz w:val="26"/>
          <w:szCs w:val="26"/>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341CA2">
        <w:rPr>
          <w:sz w:val="26"/>
          <w:szCs w:val="26"/>
          <w:highlight w:val="yellow"/>
          <w:u w:val="single"/>
        </w:rPr>
        <w:t xml:space="preserve">1 </w:t>
      </w:r>
      <w:r w:rsidR="00E61202">
        <w:rPr>
          <w:sz w:val="26"/>
          <w:szCs w:val="26"/>
          <w:highlight w:val="yellow"/>
          <w:u w:val="single"/>
        </w:rPr>
        <w:t>456</w:t>
      </w:r>
      <w:r w:rsidR="00AD353F" w:rsidRPr="00AD353F">
        <w:rPr>
          <w:sz w:val="26"/>
          <w:szCs w:val="26"/>
          <w:highlight w:val="yellow"/>
          <w:u w:val="single"/>
        </w:rPr>
        <w:t xml:space="preserve"> </w:t>
      </w:r>
      <w:r w:rsidR="00E61202">
        <w:rPr>
          <w:sz w:val="26"/>
          <w:szCs w:val="26"/>
          <w:highlight w:val="yellow"/>
          <w:u w:val="single"/>
        </w:rPr>
        <w:t>80</w:t>
      </w:r>
      <w:r w:rsidR="00AD353F" w:rsidRPr="00AD353F">
        <w:rPr>
          <w:sz w:val="26"/>
          <w:szCs w:val="26"/>
          <w:highlight w:val="yellow"/>
          <w:u w:val="single"/>
        </w:rPr>
        <w:t>0,00 (</w:t>
      </w:r>
      <w:r w:rsidR="00341CA2">
        <w:rPr>
          <w:sz w:val="26"/>
          <w:szCs w:val="26"/>
          <w:highlight w:val="yellow"/>
          <w:u w:val="single"/>
        </w:rPr>
        <w:t>Один</w:t>
      </w:r>
      <w:r w:rsidR="00AD353F" w:rsidRPr="00AD353F">
        <w:rPr>
          <w:sz w:val="26"/>
          <w:szCs w:val="26"/>
          <w:highlight w:val="yellow"/>
          <w:u w:val="single"/>
        </w:rPr>
        <w:t xml:space="preserve"> миллион </w:t>
      </w:r>
      <w:r w:rsidR="00E61202">
        <w:rPr>
          <w:sz w:val="26"/>
          <w:szCs w:val="26"/>
          <w:highlight w:val="yellow"/>
          <w:u w:val="single"/>
        </w:rPr>
        <w:t xml:space="preserve">четыреста пятьдесят шесть </w:t>
      </w:r>
      <w:r w:rsidR="00AD353F" w:rsidRPr="00AD353F">
        <w:rPr>
          <w:sz w:val="26"/>
          <w:szCs w:val="26"/>
          <w:highlight w:val="yellow"/>
          <w:u w:val="single"/>
        </w:rPr>
        <w:t>тысяч</w:t>
      </w:r>
      <w:r w:rsidR="00341CA2">
        <w:rPr>
          <w:sz w:val="26"/>
          <w:szCs w:val="26"/>
          <w:highlight w:val="yellow"/>
          <w:u w:val="single"/>
        </w:rPr>
        <w:t xml:space="preserve"> </w:t>
      </w:r>
      <w:r w:rsidR="00E61202">
        <w:rPr>
          <w:sz w:val="26"/>
          <w:szCs w:val="26"/>
          <w:highlight w:val="yellow"/>
          <w:u w:val="single"/>
        </w:rPr>
        <w:t>восемьсот</w:t>
      </w:r>
      <w:r w:rsidR="00AD353F" w:rsidRPr="00AD353F">
        <w:rPr>
          <w:sz w:val="26"/>
          <w:szCs w:val="26"/>
          <w:highlight w:val="yellow"/>
          <w:u w:val="single"/>
        </w:rPr>
        <w:t xml:space="preserve"> рублей 00 копеек</w:t>
      </w:r>
      <w:r w:rsidR="00E61202">
        <w:rPr>
          <w:sz w:val="26"/>
          <w:szCs w:val="26"/>
          <w:u w:val="single"/>
        </w:rPr>
        <w:t>)</w:t>
      </w:r>
      <w:r w:rsidR="000F1FD0">
        <w:rPr>
          <w:sz w:val="26"/>
          <w:szCs w:val="26"/>
        </w:rPr>
        <w:t xml:space="preserve"> </w:t>
      </w:r>
      <w:r w:rsidR="000F1FD0" w:rsidRPr="00BD1EED">
        <w:rPr>
          <w:sz w:val="26"/>
          <w:szCs w:val="26"/>
        </w:rPr>
        <w:t>(с учетом всех расходов</w:t>
      </w:r>
      <w:r w:rsidR="000F1FD0">
        <w:rPr>
          <w:sz w:val="26"/>
          <w:szCs w:val="26"/>
        </w:rPr>
        <w:t xml:space="preserve">, </w:t>
      </w:r>
      <w:r w:rsidR="00E61202">
        <w:rPr>
          <w:sz w:val="26"/>
          <w:szCs w:val="26"/>
        </w:rPr>
        <w:t xml:space="preserve">налогов, </w:t>
      </w:r>
      <w:r w:rsidR="000F1FD0">
        <w:rPr>
          <w:sz w:val="26"/>
          <w:szCs w:val="26"/>
        </w:rPr>
        <w:t>сборов, связанных с заключением договора</w:t>
      </w:r>
      <w:r w:rsidR="000F1FD0" w:rsidRPr="00BD1EED">
        <w:rPr>
          <w:sz w:val="26"/>
          <w:szCs w:val="26"/>
        </w:rPr>
        <w:t xml:space="preserve">). </w:t>
      </w:r>
    </w:p>
    <w:p w:rsidR="008E6316" w:rsidRPr="000F1FD0" w:rsidRDefault="008E6316" w:rsidP="000F1FD0">
      <w:pPr>
        <w:pStyle w:val="3"/>
        <w:numPr>
          <w:ilvl w:val="0"/>
          <w:numId w:val="0"/>
        </w:numPr>
        <w:tabs>
          <w:tab w:val="left" w:pos="993"/>
        </w:tabs>
        <w:spacing w:line="240" w:lineRule="auto"/>
        <w:ind w:left="792"/>
        <w:rPr>
          <w:sz w:val="26"/>
          <w:szCs w:val="26"/>
          <w:highlight w:val="yellow"/>
        </w:rPr>
      </w:pPr>
    </w:p>
    <w:p w:rsidR="00DB3852"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3F50CD" w:rsidRDefault="003F50CD" w:rsidP="003F50CD">
      <w:pPr>
        <w:pStyle w:val="ac"/>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lastRenderedPageBreak/>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0B5E81" w:rsidRDefault="000C1F8C" w:rsidP="00C902BF">
      <w:pPr>
        <w:pStyle w:val="3"/>
        <w:numPr>
          <w:ilvl w:val="1"/>
          <w:numId w:val="3"/>
        </w:numPr>
        <w:tabs>
          <w:tab w:val="left" w:pos="993"/>
        </w:tabs>
        <w:spacing w:line="240" w:lineRule="auto"/>
        <w:rPr>
          <w:sz w:val="26"/>
          <w:szCs w:val="26"/>
        </w:rPr>
      </w:pPr>
      <w:r w:rsidRPr="000B5E81">
        <w:rPr>
          <w:sz w:val="26"/>
          <w:szCs w:val="26"/>
        </w:rPr>
        <w:t xml:space="preserve">Участники запроса </w:t>
      </w:r>
      <w:r w:rsidR="00896E7A" w:rsidRPr="000B5E81">
        <w:rPr>
          <w:sz w:val="26"/>
          <w:szCs w:val="26"/>
        </w:rPr>
        <w:t>цен</w:t>
      </w:r>
      <w:r w:rsidR="00183879" w:rsidRPr="000B5E81">
        <w:rPr>
          <w:sz w:val="26"/>
          <w:szCs w:val="26"/>
        </w:rPr>
        <w:t xml:space="preserve"> указывают цену </w:t>
      </w:r>
      <w:r w:rsidR="009075A9" w:rsidRPr="000B5E81">
        <w:rPr>
          <w:sz w:val="26"/>
          <w:szCs w:val="26"/>
        </w:rPr>
        <w:t>договора</w:t>
      </w:r>
      <w:r w:rsidR="009E1C42" w:rsidRPr="000B5E81">
        <w:rPr>
          <w:sz w:val="26"/>
          <w:szCs w:val="26"/>
        </w:rPr>
        <w:t xml:space="preserve">, включая  </w:t>
      </w:r>
      <w:r w:rsidR="00183879" w:rsidRPr="000B5E81">
        <w:rPr>
          <w:sz w:val="26"/>
          <w:szCs w:val="26"/>
        </w:rPr>
        <w:t xml:space="preserve"> цены сопутствующих работ</w:t>
      </w:r>
      <w:r w:rsidR="00DB3852" w:rsidRPr="000B5E81">
        <w:rPr>
          <w:sz w:val="26"/>
          <w:szCs w:val="26"/>
        </w:rPr>
        <w:t xml:space="preserve"> (</w:t>
      </w:r>
      <w:r w:rsidR="00183879" w:rsidRPr="000B5E81">
        <w:rPr>
          <w:sz w:val="26"/>
          <w:szCs w:val="26"/>
        </w:rPr>
        <w:t>услуг</w:t>
      </w:r>
      <w:r w:rsidR="00DB3852" w:rsidRPr="000B5E81">
        <w:rPr>
          <w:sz w:val="26"/>
          <w:szCs w:val="26"/>
        </w:rPr>
        <w:t>)</w:t>
      </w:r>
      <w:r w:rsidR="00183879" w:rsidRPr="000B5E81">
        <w:rPr>
          <w:sz w:val="26"/>
          <w:szCs w:val="26"/>
        </w:rPr>
        <w:t>. Все</w:t>
      </w:r>
      <w:r w:rsidR="00DB3852" w:rsidRPr="000B5E81">
        <w:rPr>
          <w:sz w:val="26"/>
          <w:szCs w:val="26"/>
        </w:rPr>
        <w:t xml:space="preserve"> </w:t>
      </w:r>
      <w:r w:rsidR="00183879" w:rsidRPr="000B5E81">
        <w:rPr>
          <w:sz w:val="26"/>
          <w:szCs w:val="26"/>
        </w:rPr>
        <w:t>налоги, п</w:t>
      </w:r>
      <w:r w:rsidR="00DB3852" w:rsidRPr="000B5E81">
        <w:rPr>
          <w:sz w:val="26"/>
          <w:szCs w:val="26"/>
        </w:rPr>
        <w:t xml:space="preserve">ошлины и прочие сборы, которые </w:t>
      </w:r>
      <w:r w:rsidRPr="000B5E81">
        <w:rPr>
          <w:sz w:val="26"/>
          <w:szCs w:val="26"/>
        </w:rPr>
        <w:t xml:space="preserve">участники запроса </w:t>
      </w:r>
      <w:r w:rsidR="00896E7A" w:rsidRPr="000B5E81">
        <w:rPr>
          <w:sz w:val="26"/>
          <w:szCs w:val="26"/>
        </w:rPr>
        <w:t>цен</w:t>
      </w:r>
      <w:r w:rsidR="00183879" w:rsidRPr="000B5E81">
        <w:rPr>
          <w:sz w:val="26"/>
          <w:szCs w:val="26"/>
        </w:rPr>
        <w:t xml:space="preserve"> должны оплачив</w:t>
      </w:r>
      <w:r w:rsidR="00DB3852" w:rsidRPr="000B5E81">
        <w:rPr>
          <w:sz w:val="26"/>
          <w:szCs w:val="26"/>
        </w:rPr>
        <w:t>ать в соответствии с оказанием з</w:t>
      </w:r>
      <w:r w:rsidR="00183879" w:rsidRPr="000B5E81">
        <w:rPr>
          <w:sz w:val="26"/>
          <w:szCs w:val="26"/>
        </w:rPr>
        <w:t>аказчику услуг</w:t>
      </w:r>
      <w:r w:rsidR="00DB3852" w:rsidRPr="000B5E81">
        <w:rPr>
          <w:sz w:val="26"/>
          <w:szCs w:val="26"/>
        </w:rPr>
        <w:t xml:space="preserve">, </w:t>
      </w:r>
      <w:r w:rsidR="00183879" w:rsidRPr="000B5E81">
        <w:rPr>
          <w:sz w:val="26"/>
          <w:szCs w:val="26"/>
        </w:rPr>
        <w:t xml:space="preserve"> включаются в цену </w:t>
      </w:r>
      <w:r w:rsidR="00DB3852" w:rsidRPr="000B5E81">
        <w:rPr>
          <w:sz w:val="26"/>
          <w:szCs w:val="26"/>
        </w:rPr>
        <w:t>д</w:t>
      </w:r>
      <w:r w:rsidR="00183879" w:rsidRPr="000B5E81">
        <w:rPr>
          <w:sz w:val="26"/>
          <w:szCs w:val="26"/>
        </w:rPr>
        <w:t xml:space="preserve">оговора, предлагаемую в заявке </w:t>
      </w:r>
      <w:r w:rsidRPr="000B5E81">
        <w:rPr>
          <w:sz w:val="26"/>
          <w:szCs w:val="26"/>
        </w:rPr>
        <w:t xml:space="preserve">участником запроса </w:t>
      </w:r>
      <w:r w:rsidR="00896E7A" w:rsidRPr="000B5E81">
        <w:rPr>
          <w:sz w:val="26"/>
          <w:szCs w:val="26"/>
        </w:rPr>
        <w:t>цен</w:t>
      </w:r>
      <w:r w:rsidR="00183879" w:rsidRPr="000B5E81">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w:t>
      </w:r>
      <w:r w:rsidR="00E61202">
        <w:rPr>
          <w:sz w:val="26"/>
          <w:szCs w:val="26"/>
        </w:rPr>
        <w:t>–</w:t>
      </w:r>
      <w:r w:rsidRPr="00BD1EED">
        <w:rPr>
          <w:sz w:val="26"/>
          <w:szCs w:val="26"/>
        </w:rPr>
        <w:t xml:space="preserve"> </w:t>
      </w:r>
      <w:bookmarkStart w:id="0" w:name="_GoBack"/>
      <w:bookmarkEnd w:id="0"/>
      <w:r w:rsidR="00E61202" w:rsidRPr="00863ABC">
        <w:rPr>
          <w:sz w:val="26"/>
          <w:szCs w:val="26"/>
          <w:highlight w:val="yellow"/>
        </w:rPr>
        <w:t>19.09.2014 г.</w:t>
      </w:r>
      <w:r w:rsidR="00E61202">
        <w:rPr>
          <w:sz w:val="26"/>
          <w:szCs w:val="26"/>
        </w:rPr>
        <w:t xml:space="preserve"> (</w:t>
      </w:r>
      <w:r w:rsidRPr="00BD1EED">
        <w:rPr>
          <w:sz w:val="26"/>
          <w:szCs w:val="26"/>
        </w:rPr>
        <w:t xml:space="preserve">дня размещения извещения о запросе </w:t>
      </w:r>
      <w:r w:rsidR="00896E7A">
        <w:rPr>
          <w:sz w:val="26"/>
          <w:szCs w:val="26"/>
        </w:rPr>
        <w:t>цен</w:t>
      </w:r>
      <w:r w:rsidR="00E61202">
        <w:rPr>
          <w:sz w:val="26"/>
          <w:szCs w:val="26"/>
        </w:rPr>
        <w:t>)</w:t>
      </w:r>
      <w:r w:rsidRPr="00BD1EED">
        <w:rPr>
          <w:sz w:val="26"/>
          <w:szCs w:val="26"/>
        </w:rPr>
        <w:t>.</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E61202">
        <w:rPr>
          <w:sz w:val="26"/>
          <w:szCs w:val="26"/>
          <w:highlight w:val="yellow"/>
        </w:rPr>
        <w:t>30</w:t>
      </w:r>
      <w:r w:rsidR="00002D43">
        <w:rPr>
          <w:sz w:val="26"/>
          <w:szCs w:val="26"/>
          <w:highlight w:val="yellow"/>
        </w:rPr>
        <w:t>.0</w:t>
      </w:r>
      <w:r w:rsidR="00E61202">
        <w:rPr>
          <w:sz w:val="26"/>
          <w:szCs w:val="26"/>
          <w:highlight w:val="yellow"/>
        </w:rPr>
        <w:t>9</w:t>
      </w:r>
      <w:r w:rsidR="00173BA1">
        <w:rPr>
          <w:sz w:val="26"/>
          <w:szCs w:val="26"/>
          <w:highlight w:val="yellow"/>
        </w:rPr>
        <w:t>.</w:t>
      </w:r>
      <w:r w:rsidR="00002D43">
        <w:rPr>
          <w:sz w:val="26"/>
          <w:szCs w:val="26"/>
          <w:highlight w:val="yellow"/>
        </w:rPr>
        <w:t>201</w:t>
      </w:r>
      <w:r w:rsidR="00E61202">
        <w:rPr>
          <w:sz w:val="26"/>
          <w:szCs w:val="26"/>
          <w:highlight w:val="yellow"/>
        </w:rPr>
        <w:t>4</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173BA1" w:rsidRDefault="000C1F8C" w:rsidP="00C902BF">
      <w:pPr>
        <w:pStyle w:val="3"/>
        <w:numPr>
          <w:ilvl w:val="1"/>
          <w:numId w:val="3"/>
        </w:numPr>
        <w:tabs>
          <w:tab w:val="left" w:pos="993"/>
        </w:tabs>
        <w:spacing w:line="240" w:lineRule="auto"/>
        <w:rPr>
          <w:sz w:val="26"/>
          <w:szCs w:val="26"/>
          <w:highlight w:val="yellow"/>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lastRenderedPageBreak/>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0930F5" w:rsidRPr="002A1420">
        <w:rPr>
          <w:bCs/>
          <w:sz w:val="26"/>
          <w:szCs w:val="26"/>
          <w:highlight w:val="yellow"/>
        </w:rPr>
        <w:t xml:space="preserve">договора </w:t>
      </w:r>
      <w:r w:rsidR="000930F5" w:rsidRPr="00E471A0">
        <w:rPr>
          <w:bCs/>
          <w:sz w:val="26"/>
          <w:szCs w:val="26"/>
          <w:highlight w:val="yellow"/>
        </w:rPr>
        <w:t>купли-продажи нефтепродуктов по талонам</w:t>
      </w:r>
      <w:r w:rsidR="00D04EBB" w:rsidRPr="00173BA1">
        <w:rPr>
          <w:sz w:val="26"/>
          <w:szCs w:val="26"/>
          <w:highlight w:val="yellow"/>
        </w:rPr>
        <w:t>.</w:t>
      </w:r>
      <w:r w:rsidR="00F429E7" w:rsidRPr="00173BA1">
        <w:rPr>
          <w:sz w:val="26"/>
          <w:szCs w:val="26"/>
          <w:highlight w:val="yellow"/>
        </w:rPr>
        <w:t xml:space="preserve"> Реестровый номер закупки ОЗ</w:t>
      </w:r>
      <w:r w:rsidR="00A57C58" w:rsidRPr="00173BA1">
        <w:rPr>
          <w:sz w:val="26"/>
          <w:szCs w:val="26"/>
          <w:highlight w:val="yellow"/>
        </w:rPr>
        <w:t>Ц</w:t>
      </w:r>
      <w:r w:rsidR="00002D43">
        <w:rPr>
          <w:sz w:val="26"/>
          <w:szCs w:val="26"/>
          <w:highlight w:val="yellow"/>
        </w:rPr>
        <w:t xml:space="preserve"> №0</w:t>
      </w:r>
      <w:r w:rsidR="00AD353F">
        <w:rPr>
          <w:sz w:val="26"/>
          <w:szCs w:val="26"/>
          <w:highlight w:val="yellow"/>
        </w:rPr>
        <w:t>2</w:t>
      </w:r>
      <w:r w:rsidR="00E61202">
        <w:rPr>
          <w:sz w:val="26"/>
          <w:szCs w:val="26"/>
          <w:highlight w:val="yellow"/>
        </w:rPr>
        <w:t>1</w:t>
      </w:r>
      <w:r w:rsidR="00A57C58" w:rsidRPr="00173BA1">
        <w:rPr>
          <w:sz w:val="26"/>
          <w:szCs w:val="26"/>
          <w:highlight w:val="yellow"/>
        </w:rPr>
        <w:t>/</w:t>
      </w:r>
      <w:r w:rsidR="00002D43">
        <w:rPr>
          <w:sz w:val="26"/>
          <w:szCs w:val="26"/>
          <w:highlight w:val="yellow"/>
        </w:rPr>
        <w:t>201</w:t>
      </w:r>
      <w:r w:rsidR="00E61202">
        <w:rPr>
          <w:sz w:val="26"/>
          <w:szCs w:val="26"/>
          <w:highlight w:val="yellow"/>
        </w:rPr>
        <w:t>4</w:t>
      </w:r>
      <w:r w:rsidR="000B05AC" w:rsidRPr="00173BA1">
        <w:rPr>
          <w:sz w:val="26"/>
          <w:szCs w:val="26"/>
          <w:highlight w:val="yellow"/>
        </w:rPr>
        <w:t>/</w:t>
      </w:r>
      <w:r w:rsidR="008735F7">
        <w:rPr>
          <w:sz w:val="26"/>
          <w:szCs w:val="26"/>
          <w:highlight w:val="yellow"/>
        </w:rPr>
        <w:t>ПЗ</w:t>
      </w:r>
      <w:r w:rsidR="008513EB" w:rsidRPr="00173BA1">
        <w:rPr>
          <w:sz w:val="26"/>
          <w:szCs w:val="26"/>
          <w:highlight w:val="yellow"/>
        </w:rPr>
        <w:t>»</w:t>
      </w:r>
      <w:r w:rsidR="00173BA1">
        <w:rPr>
          <w:sz w:val="26"/>
          <w:szCs w:val="26"/>
          <w:highlight w:val="yellow"/>
        </w:rPr>
        <w:t>.</w:t>
      </w:r>
      <w:r w:rsidR="00F429E7" w:rsidRPr="00173BA1">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1C0414"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1C0414">
        <w:rPr>
          <w:sz w:val="26"/>
          <w:szCs w:val="26"/>
          <w:highlight w:val="yellow"/>
        </w:rPr>
        <w:t xml:space="preserve">на право заключения </w:t>
      </w:r>
      <w:r w:rsidR="000930F5" w:rsidRPr="002A1420">
        <w:rPr>
          <w:bCs/>
          <w:sz w:val="26"/>
          <w:szCs w:val="26"/>
          <w:highlight w:val="yellow"/>
        </w:rPr>
        <w:t xml:space="preserve">договора </w:t>
      </w:r>
      <w:r w:rsidR="000930F5" w:rsidRPr="00E471A0">
        <w:rPr>
          <w:bCs/>
          <w:sz w:val="26"/>
          <w:szCs w:val="26"/>
          <w:highlight w:val="yellow"/>
        </w:rPr>
        <w:t>купли-продажи нефтепродуктов по талонам</w:t>
      </w:r>
      <w:r w:rsidR="00D04EBB" w:rsidRPr="001C0414">
        <w:rPr>
          <w:sz w:val="26"/>
          <w:szCs w:val="26"/>
          <w:highlight w:val="yellow"/>
        </w:rPr>
        <w:t>.</w:t>
      </w:r>
      <w:r w:rsidR="00E9573E" w:rsidRPr="001C0414">
        <w:rPr>
          <w:sz w:val="26"/>
          <w:szCs w:val="26"/>
          <w:highlight w:val="yellow"/>
        </w:rPr>
        <w:t xml:space="preserve"> Реестровый номер закупки ОЗ</w:t>
      </w:r>
      <w:r w:rsidR="00A57C58" w:rsidRPr="001C0414">
        <w:rPr>
          <w:sz w:val="26"/>
          <w:szCs w:val="26"/>
          <w:highlight w:val="yellow"/>
        </w:rPr>
        <w:t>Ц</w:t>
      </w:r>
      <w:r w:rsidR="00002D43">
        <w:rPr>
          <w:sz w:val="26"/>
          <w:szCs w:val="26"/>
          <w:highlight w:val="yellow"/>
        </w:rPr>
        <w:t xml:space="preserve"> №0</w:t>
      </w:r>
      <w:r w:rsidR="00AD353F">
        <w:rPr>
          <w:sz w:val="26"/>
          <w:szCs w:val="26"/>
          <w:highlight w:val="yellow"/>
        </w:rPr>
        <w:t>2</w:t>
      </w:r>
      <w:r w:rsidR="000D5405">
        <w:rPr>
          <w:sz w:val="26"/>
          <w:szCs w:val="26"/>
          <w:highlight w:val="yellow"/>
        </w:rPr>
        <w:t>1</w:t>
      </w:r>
      <w:r w:rsidR="00A57C58" w:rsidRPr="001C0414">
        <w:rPr>
          <w:sz w:val="26"/>
          <w:szCs w:val="26"/>
          <w:highlight w:val="yellow"/>
        </w:rPr>
        <w:t>/</w:t>
      </w:r>
      <w:r w:rsidR="00002D43">
        <w:rPr>
          <w:sz w:val="26"/>
          <w:szCs w:val="26"/>
          <w:highlight w:val="yellow"/>
        </w:rPr>
        <w:t>201</w:t>
      </w:r>
      <w:r w:rsidR="000D5405">
        <w:rPr>
          <w:sz w:val="26"/>
          <w:szCs w:val="26"/>
          <w:highlight w:val="yellow"/>
        </w:rPr>
        <w:t>4</w:t>
      </w:r>
      <w:r w:rsidR="000B05AC" w:rsidRPr="001C0414">
        <w:rPr>
          <w:sz w:val="26"/>
          <w:szCs w:val="26"/>
          <w:highlight w:val="yellow"/>
        </w:rPr>
        <w:t>/</w:t>
      </w:r>
      <w:r w:rsidR="008735F7">
        <w:rPr>
          <w:sz w:val="26"/>
          <w:szCs w:val="26"/>
          <w:highlight w:val="yellow"/>
        </w:rPr>
        <w:t>ПЗ</w:t>
      </w:r>
      <w:r w:rsidRPr="001C0414">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DA1743" w:rsidRPr="00002D43" w:rsidRDefault="00DA1743" w:rsidP="00DA1743">
      <w:pPr>
        <w:pStyle w:val="3"/>
        <w:numPr>
          <w:ilvl w:val="0"/>
          <w:numId w:val="6"/>
        </w:numPr>
        <w:tabs>
          <w:tab w:val="left" w:pos="993"/>
        </w:tabs>
        <w:spacing w:line="240" w:lineRule="auto"/>
        <w:rPr>
          <w:sz w:val="26"/>
          <w:szCs w:val="26"/>
          <w:highlight w:val="yellow"/>
        </w:rPr>
      </w:pPr>
      <w:r w:rsidRPr="00002D43">
        <w:rPr>
          <w:sz w:val="26"/>
          <w:szCs w:val="26"/>
          <w:highlight w:val="yellow"/>
        </w:rPr>
        <w:t>требование о наличии АЗС</w:t>
      </w:r>
      <w:r w:rsidR="000D5405">
        <w:rPr>
          <w:sz w:val="26"/>
          <w:szCs w:val="26"/>
          <w:highlight w:val="yellow"/>
        </w:rPr>
        <w:t xml:space="preserve"> на территории г. Королева</w:t>
      </w:r>
      <w:r w:rsidRPr="00002D43">
        <w:rPr>
          <w:sz w:val="26"/>
          <w:szCs w:val="26"/>
          <w:highlight w:val="yellow"/>
        </w:rPr>
        <w:t xml:space="preserve">, работающих круглосуточно и ежедневно, расположенных </w:t>
      </w:r>
      <w:r w:rsidR="00CA7251" w:rsidRPr="00002D43">
        <w:rPr>
          <w:sz w:val="26"/>
          <w:szCs w:val="26"/>
          <w:highlight w:val="yellow"/>
        </w:rPr>
        <w:t>на расстоянии не более 3</w:t>
      </w:r>
      <w:r w:rsidR="001059D3" w:rsidRPr="00002D43">
        <w:rPr>
          <w:sz w:val="26"/>
          <w:szCs w:val="26"/>
          <w:highlight w:val="yellow"/>
        </w:rPr>
        <w:t xml:space="preserve"> </w:t>
      </w:r>
      <w:r w:rsidR="00CA7251" w:rsidRPr="00002D43">
        <w:rPr>
          <w:sz w:val="26"/>
          <w:szCs w:val="26"/>
          <w:highlight w:val="yellow"/>
        </w:rPr>
        <w:t xml:space="preserve">(трех) </w:t>
      </w:r>
      <w:r w:rsidR="001059D3" w:rsidRPr="00002D43">
        <w:rPr>
          <w:sz w:val="26"/>
          <w:szCs w:val="26"/>
          <w:highlight w:val="yellow"/>
        </w:rPr>
        <w:t>километров</w:t>
      </w:r>
      <w:r w:rsidR="00CA7251" w:rsidRPr="00002D43">
        <w:rPr>
          <w:sz w:val="26"/>
          <w:szCs w:val="26"/>
          <w:highlight w:val="yellow"/>
        </w:rPr>
        <w:t xml:space="preserve"> от юридического адреса </w:t>
      </w:r>
      <w:r w:rsidR="000D5405">
        <w:rPr>
          <w:sz w:val="26"/>
          <w:szCs w:val="26"/>
          <w:highlight w:val="yellow"/>
        </w:rPr>
        <w:t>З</w:t>
      </w:r>
      <w:r w:rsidR="00CA7251" w:rsidRPr="00002D43">
        <w:rPr>
          <w:sz w:val="26"/>
          <w:szCs w:val="26"/>
          <w:highlight w:val="yellow"/>
        </w:rPr>
        <w:t>АО «Королевская электросеть»</w:t>
      </w:r>
      <w:r w:rsidR="00CA7251" w:rsidRPr="00002D43">
        <w:rPr>
          <w:rStyle w:val="rvts31451"/>
          <w:sz w:val="26"/>
          <w:szCs w:val="26"/>
          <w:highlight w:val="yellow"/>
        </w:rPr>
        <w:t xml:space="preserve"> (Московская область, г. Королев, ул. Гагарина, д.4а</w:t>
      </w:r>
      <w:r w:rsidR="00CA7251" w:rsidRPr="00002D43">
        <w:rPr>
          <w:bCs/>
          <w:sz w:val="26"/>
          <w:szCs w:val="26"/>
          <w:highlight w:val="yellow"/>
        </w:rPr>
        <w:t>)</w:t>
      </w:r>
      <w:r w:rsidRPr="00002D43">
        <w:rPr>
          <w:sz w:val="26"/>
          <w:szCs w:val="26"/>
          <w:highlight w:val="yellow"/>
        </w:rPr>
        <w:t>.</w:t>
      </w:r>
      <w:r w:rsidR="000D5405">
        <w:rPr>
          <w:sz w:val="26"/>
          <w:szCs w:val="26"/>
          <w:highlight w:val="yellow"/>
        </w:rPr>
        <w:t xml:space="preserve"> </w:t>
      </w:r>
    </w:p>
    <w:p w:rsidR="001059D3" w:rsidRDefault="001059D3" w:rsidP="001059D3">
      <w:pPr>
        <w:pStyle w:val="ac"/>
        <w:rPr>
          <w:sz w:val="26"/>
          <w:szCs w:val="26"/>
          <w:highlight w:val="yellow"/>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документации, принимаются на электронный адрес </w:t>
      </w:r>
      <w:r w:rsidR="000D5405">
        <w:rPr>
          <w:sz w:val="26"/>
          <w:szCs w:val="26"/>
        </w:rPr>
        <w:t>З</w:t>
      </w:r>
      <w:r w:rsidRPr="00BD1EED">
        <w:rPr>
          <w:sz w:val="26"/>
          <w:szCs w:val="26"/>
        </w:rPr>
        <w:t>АО «Королевская электросеть»:</w:t>
      </w:r>
      <w:r w:rsidR="00BF1230">
        <w:rPr>
          <w:sz w:val="26"/>
          <w:szCs w:val="26"/>
        </w:rPr>
        <w:t xml:space="preserve"> </w:t>
      </w:r>
      <w:r w:rsidR="00AD353F" w:rsidRPr="00AD353F">
        <w:rPr>
          <w:color w:val="0000FF"/>
          <w:u w:val="single"/>
        </w:rPr>
        <w:t>avseevich.av@kenet.ru</w:t>
      </w:r>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0D5405">
        <w:rPr>
          <w:sz w:val="26"/>
          <w:szCs w:val="26"/>
          <w:highlight w:val="yellow"/>
        </w:rPr>
        <w:t>19</w:t>
      </w:r>
      <w:r w:rsidR="00002D43">
        <w:rPr>
          <w:sz w:val="26"/>
          <w:szCs w:val="26"/>
          <w:highlight w:val="yellow"/>
        </w:rPr>
        <w:t>.0</w:t>
      </w:r>
      <w:r w:rsidR="000D5405">
        <w:rPr>
          <w:sz w:val="26"/>
          <w:szCs w:val="26"/>
          <w:highlight w:val="yellow"/>
        </w:rPr>
        <w:t>9</w:t>
      </w:r>
      <w:r w:rsidR="00E21DBC" w:rsidRPr="00E21DBC">
        <w:rPr>
          <w:sz w:val="26"/>
          <w:szCs w:val="26"/>
          <w:highlight w:val="yellow"/>
        </w:rPr>
        <w:t>.</w:t>
      </w:r>
      <w:r w:rsidR="00002D43">
        <w:rPr>
          <w:sz w:val="26"/>
          <w:szCs w:val="26"/>
          <w:highlight w:val="yellow"/>
        </w:rPr>
        <w:t>201</w:t>
      </w:r>
      <w:r w:rsidR="000D5405">
        <w:rPr>
          <w:sz w:val="26"/>
          <w:szCs w:val="26"/>
          <w:highlight w:val="yellow"/>
        </w:rPr>
        <w:t>4</w:t>
      </w:r>
      <w:r w:rsidR="00E21DBC" w:rsidRPr="00E21DBC">
        <w:rPr>
          <w:sz w:val="26"/>
          <w:szCs w:val="26"/>
          <w:highlight w:val="yellow"/>
        </w:rPr>
        <w:t xml:space="preserve"> г. </w:t>
      </w:r>
      <w:r w:rsidR="00E530C9">
        <w:rPr>
          <w:sz w:val="26"/>
          <w:szCs w:val="26"/>
          <w:highlight w:val="yellow"/>
        </w:rPr>
        <w:t>по</w:t>
      </w:r>
      <w:r w:rsidR="00647F1D" w:rsidRPr="00E21DBC">
        <w:rPr>
          <w:sz w:val="26"/>
          <w:szCs w:val="26"/>
          <w:highlight w:val="yellow"/>
        </w:rPr>
        <w:t xml:space="preserve"> </w:t>
      </w:r>
      <w:r w:rsidR="00002D43">
        <w:rPr>
          <w:sz w:val="26"/>
          <w:szCs w:val="26"/>
          <w:highlight w:val="yellow"/>
        </w:rPr>
        <w:t>2</w:t>
      </w:r>
      <w:r w:rsidR="000D5405">
        <w:rPr>
          <w:sz w:val="26"/>
          <w:szCs w:val="26"/>
          <w:highlight w:val="yellow"/>
        </w:rPr>
        <w:t>4</w:t>
      </w:r>
      <w:r w:rsidR="00002D43">
        <w:rPr>
          <w:sz w:val="26"/>
          <w:szCs w:val="26"/>
          <w:highlight w:val="yellow"/>
        </w:rPr>
        <w:t>.0</w:t>
      </w:r>
      <w:r w:rsidR="000D5405">
        <w:rPr>
          <w:sz w:val="26"/>
          <w:szCs w:val="26"/>
          <w:highlight w:val="yellow"/>
        </w:rPr>
        <w:t>9</w:t>
      </w:r>
      <w:r w:rsidR="001C0414">
        <w:rPr>
          <w:sz w:val="26"/>
          <w:szCs w:val="26"/>
          <w:highlight w:val="yellow"/>
        </w:rPr>
        <w:t>.</w:t>
      </w:r>
      <w:r w:rsidR="00002D43">
        <w:rPr>
          <w:sz w:val="26"/>
          <w:szCs w:val="26"/>
          <w:highlight w:val="yellow"/>
        </w:rPr>
        <w:t>201</w:t>
      </w:r>
      <w:r w:rsidR="000D5405">
        <w:rPr>
          <w:sz w:val="26"/>
          <w:szCs w:val="26"/>
          <w:highlight w:val="yellow"/>
        </w:rPr>
        <w:t>4</w:t>
      </w:r>
      <w:r w:rsidR="00E21DBC" w:rsidRPr="00E21DBC">
        <w:rPr>
          <w:sz w:val="26"/>
          <w:szCs w:val="26"/>
          <w:highlight w:val="yellow"/>
        </w:rPr>
        <w:t xml:space="preserve"> г.</w:t>
      </w:r>
      <w:r w:rsidR="004873C9">
        <w:rPr>
          <w:sz w:val="26"/>
          <w:szCs w:val="26"/>
        </w:rPr>
        <w:t xml:space="preserve"> включительно.</w:t>
      </w:r>
      <w:r w:rsidR="00647F1D" w:rsidRPr="00BD1EED">
        <w:rPr>
          <w:sz w:val="26"/>
          <w:szCs w:val="26"/>
        </w:rPr>
        <w:t xml:space="preserve"> Заказчик, в течение </w:t>
      </w:r>
      <w:r w:rsidR="002611F7">
        <w:rPr>
          <w:sz w:val="26"/>
          <w:szCs w:val="26"/>
        </w:rPr>
        <w:t>трех</w:t>
      </w:r>
      <w:r w:rsidR="00647F1D" w:rsidRPr="00BD1EED">
        <w:rPr>
          <w:sz w:val="26"/>
          <w:szCs w:val="26"/>
        </w:rPr>
        <w:t xml:space="preserve">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Место рассмотрения: Московская область, г.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0D5405" w:rsidRPr="000D5405">
        <w:rPr>
          <w:color w:val="000000"/>
          <w:sz w:val="26"/>
          <w:szCs w:val="26"/>
          <w:highlight w:val="yellow"/>
        </w:rPr>
        <w:t>3</w:t>
      </w:r>
      <w:r w:rsidR="00FC5F09" w:rsidRPr="000D5405">
        <w:rPr>
          <w:color w:val="000000"/>
          <w:sz w:val="26"/>
          <w:szCs w:val="26"/>
          <w:highlight w:val="yellow"/>
        </w:rPr>
        <w:t>0</w:t>
      </w:r>
      <w:r w:rsidR="00002D43" w:rsidRPr="000D5405">
        <w:rPr>
          <w:color w:val="000000"/>
          <w:sz w:val="26"/>
          <w:szCs w:val="26"/>
          <w:highlight w:val="yellow"/>
        </w:rPr>
        <w:t>.0</w:t>
      </w:r>
      <w:r w:rsidR="000D5405" w:rsidRPr="000D5405">
        <w:rPr>
          <w:color w:val="000000"/>
          <w:sz w:val="26"/>
          <w:szCs w:val="26"/>
          <w:highlight w:val="yellow"/>
        </w:rPr>
        <w:t>9</w:t>
      </w:r>
      <w:r w:rsidR="007F110B" w:rsidRPr="000D5405">
        <w:rPr>
          <w:color w:val="000000"/>
          <w:sz w:val="26"/>
          <w:szCs w:val="26"/>
          <w:highlight w:val="yellow"/>
        </w:rPr>
        <w:t>.</w:t>
      </w:r>
      <w:r w:rsidR="00002D43" w:rsidRPr="000D5405">
        <w:rPr>
          <w:color w:val="000000"/>
          <w:sz w:val="26"/>
          <w:szCs w:val="26"/>
          <w:highlight w:val="yellow"/>
        </w:rPr>
        <w:t>2013</w:t>
      </w:r>
      <w:r w:rsidR="007F110B" w:rsidRPr="000D5405">
        <w:rPr>
          <w:color w:val="000000"/>
          <w:sz w:val="26"/>
          <w:szCs w:val="26"/>
          <w:highlight w:val="yellow"/>
        </w:rPr>
        <w:t>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FC5F09">
        <w:rPr>
          <w:color w:val="000000"/>
          <w:sz w:val="26"/>
          <w:szCs w:val="26"/>
          <w:highlight w:val="yellow"/>
        </w:rPr>
        <w:t>0</w:t>
      </w:r>
      <w:r w:rsidR="000D5405">
        <w:rPr>
          <w:color w:val="000000"/>
          <w:sz w:val="26"/>
          <w:szCs w:val="26"/>
          <w:highlight w:val="yellow"/>
        </w:rPr>
        <w:t>1</w:t>
      </w:r>
      <w:r w:rsidR="00002D43">
        <w:rPr>
          <w:color w:val="000000"/>
          <w:sz w:val="26"/>
          <w:szCs w:val="26"/>
          <w:highlight w:val="yellow"/>
        </w:rPr>
        <w:t>.</w:t>
      </w:r>
      <w:r w:rsidR="000D5405">
        <w:rPr>
          <w:color w:val="000000"/>
          <w:sz w:val="26"/>
          <w:szCs w:val="26"/>
          <w:highlight w:val="yellow"/>
        </w:rPr>
        <w:t>1</w:t>
      </w:r>
      <w:r w:rsidR="00002D43">
        <w:rPr>
          <w:color w:val="000000"/>
          <w:sz w:val="26"/>
          <w:szCs w:val="26"/>
          <w:highlight w:val="yellow"/>
        </w:rPr>
        <w:t>0</w:t>
      </w:r>
      <w:r w:rsidR="00E21DBC" w:rsidRPr="00E21DBC">
        <w:rPr>
          <w:color w:val="000000"/>
          <w:sz w:val="26"/>
          <w:szCs w:val="26"/>
          <w:highlight w:val="yellow"/>
        </w:rPr>
        <w:t>.</w:t>
      </w:r>
      <w:r w:rsidR="00002D43">
        <w:rPr>
          <w:color w:val="000000"/>
          <w:sz w:val="26"/>
          <w:szCs w:val="26"/>
          <w:highlight w:val="yellow"/>
        </w:rPr>
        <w:t>201</w:t>
      </w:r>
      <w:r w:rsidR="000D5405">
        <w:rPr>
          <w:color w:val="000000"/>
          <w:sz w:val="26"/>
          <w:szCs w:val="26"/>
          <w:highlight w:val="yellow"/>
        </w:rPr>
        <w:t>4</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0D5405">
        <w:rPr>
          <w:sz w:val="26"/>
          <w:szCs w:val="26"/>
          <w:highlight w:val="yellow"/>
        </w:rPr>
        <w:t>2</w:t>
      </w:r>
      <w:r w:rsidRPr="0057463B">
        <w:rPr>
          <w:sz w:val="26"/>
          <w:szCs w:val="26"/>
          <w:highlight w:val="yellow"/>
        </w:rPr>
        <w:t xml:space="preserve"> </w:t>
      </w:r>
      <w:r w:rsidR="001059D3">
        <w:rPr>
          <w:sz w:val="26"/>
          <w:szCs w:val="26"/>
          <w:highlight w:val="yellow"/>
        </w:rPr>
        <w:t>(</w:t>
      </w:r>
      <w:r w:rsidR="000D5405">
        <w:rPr>
          <w:sz w:val="26"/>
          <w:szCs w:val="26"/>
          <w:highlight w:val="yellow"/>
        </w:rPr>
        <w:t>двух</w:t>
      </w:r>
      <w:r w:rsidR="001059D3">
        <w:rPr>
          <w:sz w:val="26"/>
          <w:szCs w:val="26"/>
          <w:highlight w:val="yellow"/>
        </w:rPr>
        <w:t xml:space="preserve">) </w:t>
      </w:r>
      <w:r w:rsidR="004256C6" w:rsidRPr="0057463B">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lastRenderedPageBreak/>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lastRenderedPageBreak/>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AC6" w:rsidRDefault="00A92AC6" w:rsidP="00C4121A">
      <w:pPr>
        <w:spacing w:after="0" w:line="240" w:lineRule="auto"/>
      </w:pPr>
      <w:r>
        <w:separator/>
      </w:r>
    </w:p>
  </w:endnote>
  <w:endnote w:type="continuationSeparator" w:id="0">
    <w:p w:rsidR="00A92AC6" w:rsidRDefault="00A92AC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863ABC">
          <w:rPr>
            <w:noProof/>
          </w:rPr>
          <w:t>13</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AC6" w:rsidRDefault="00A92AC6" w:rsidP="00C4121A">
      <w:pPr>
        <w:spacing w:after="0" w:line="240" w:lineRule="auto"/>
      </w:pPr>
      <w:r>
        <w:separator/>
      </w:r>
    </w:p>
  </w:footnote>
  <w:footnote w:type="continuationSeparator" w:id="0">
    <w:p w:rsidR="00A92AC6" w:rsidRDefault="00A92AC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4D22"/>
    <w:rsid w:val="000A7314"/>
    <w:rsid w:val="000B05AC"/>
    <w:rsid w:val="000B318B"/>
    <w:rsid w:val="000B5E81"/>
    <w:rsid w:val="000C018F"/>
    <w:rsid w:val="000C040C"/>
    <w:rsid w:val="000C04DB"/>
    <w:rsid w:val="000C1F8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6A0C"/>
    <w:rsid w:val="00217E98"/>
    <w:rsid w:val="00217EC1"/>
    <w:rsid w:val="00221541"/>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5ABA"/>
    <w:rsid w:val="002E78D4"/>
    <w:rsid w:val="002F1D6D"/>
    <w:rsid w:val="002F5221"/>
    <w:rsid w:val="002F7EBC"/>
    <w:rsid w:val="00303E7E"/>
    <w:rsid w:val="00305FA4"/>
    <w:rsid w:val="0030724B"/>
    <w:rsid w:val="00313BA2"/>
    <w:rsid w:val="00321DB9"/>
    <w:rsid w:val="00323EA3"/>
    <w:rsid w:val="0033070C"/>
    <w:rsid w:val="003325D0"/>
    <w:rsid w:val="00337640"/>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B0D"/>
    <w:rsid w:val="003E6FD4"/>
    <w:rsid w:val="003F1F4F"/>
    <w:rsid w:val="003F1FCE"/>
    <w:rsid w:val="003F4531"/>
    <w:rsid w:val="003F50CD"/>
    <w:rsid w:val="00401F9E"/>
    <w:rsid w:val="00403D22"/>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695C"/>
    <w:rsid w:val="0052739C"/>
    <w:rsid w:val="005274E1"/>
    <w:rsid w:val="00533C50"/>
    <w:rsid w:val="00537BC7"/>
    <w:rsid w:val="005411F9"/>
    <w:rsid w:val="00546201"/>
    <w:rsid w:val="00546AF7"/>
    <w:rsid w:val="00555866"/>
    <w:rsid w:val="005613C3"/>
    <w:rsid w:val="00570C91"/>
    <w:rsid w:val="0057463B"/>
    <w:rsid w:val="00577264"/>
    <w:rsid w:val="00590B60"/>
    <w:rsid w:val="005A6F29"/>
    <w:rsid w:val="005B3790"/>
    <w:rsid w:val="005B481E"/>
    <w:rsid w:val="005C40D7"/>
    <w:rsid w:val="005C427A"/>
    <w:rsid w:val="005C6363"/>
    <w:rsid w:val="005E2EA8"/>
    <w:rsid w:val="005E44D6"/>
    <w:rsid w:val="005E4A22"/>
    <w:rsid w:val="005E6E01"/>
    <w:rsid w:val="005F2E5D"/>
    <w:rsid w:val="005F47F4"/>
    <w:rsid w:val="005F6A2F"/>
    <w:rsid w:val="005F6C6D"/>
    <w:rsid w:val="005F756B"/>
    <w:rsid w:val="00600042"/>
    <w:rsid w:val="00600064"/>
    <w:rsid w:val="00602380"/>
    <w:rsid w:val="00612B17"/>
    <w:rsid w:val="006130DD"/>
    <w:rsid w:val="00617F93"/>
    <w:rsid w:val="00627253"/>
    <w:rsid w:val="00637FFD"/>
    <w:rsid w:val="00647F1D"/>
    <w:rsid w:val="006524F3"/>
    <w:rsid w:val="00652C1E"/>
    <w:rsid w:val="00653C20"/>
    <w:rsid w:val="0065438E"/>
    <w:rsid w:val="00667BFC"/>
    <w:rsid w:val="00671C15"/>
    <w:rsid w:val="00694197"/>
    <w:rsid w:val="006C0ADD"/>
    <w:rsid w:val="006C3C55"/>
    <w:rsid w:val="006C6D5C"/>
    <w:rsid w:val="006D0CEF"/>
    <w:rsid w:val="006D6B13"/>
    <w:rsid w:val="006E2990"/>
    <w:rsid w:val="006F314C"/>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A07EC"/>
    <w:rsid w:val="007A5BBE"/>
    <w:rsid w:val="007A7390"/>
    <w:rsid w:val="007C0699"/>
    <w:rsid w:val="007C3801"/>
    <w:rsid w:val="007C3AEC"/>
    <w:rsid w:val="007C6397"/>
    <w:rsid w:val="007C65E4"/>
    <w:rsid w:val="007C7499"/>
    <w:rsid w:val="007D0407"/>
    <w:rsid w:val="007D077C"/>
    <w:rsid w:val="007D20B9"/>
    <w:rsid w:val="007D2426"/>
    <w:rsid w:val="007D4867"/>
    <w:rsid w:val="007D73B6"/>
    <w:rsid w:val="007D747C"/>
    <w:rsid w:val="007E078C"/>
    <w:rsid w:val="007E2AC0"/>
    <w:rsid w:val="007F110B"/>
    <w:rsid w:val="007F3D5E"/>
    <w:rsid w:val="007F75ED"/>
    <w:rsid w:val="007F7B5E"/>
    <w:rsid w:val="008022E7"/>
    <w:rsid w:val="00810B81"/>
    <w:rsid w:val="00811182"/>
    <w:rsid w:val="00814829"/>
    <w:rsid w:val="00816729"/>
    <w:rsid w:val="00817B7F"/>
    <w:rsid w:val="008348E7"/>
    <w:rsid w:val="00836B32"/>
    <w:rsid w:val="00840B6D"/>
    <w:rsid w:val="00847218"/>
    <w:rsid w:val="008513EB"/>
    <w:rsid w:val="008556BD"/>
    <w:rsid w:val="00856D30"/>
    <w:rsid w:val="00857C86"/>
    <w:rsid w:val="00863ABC"/>
    <w:rsid w:val="0086422F"/>
    <w:rsid w:val="00864B0F"/>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84A84"/>
    <w:rsid w:val="00991BDC"/>
    <w:rsid w:val="00993812"/>
    <w:rsid w:val="00993893"/>
    <w:rsid w:val="00995087"/>
    <w:rsid w:val="009A29B4"/>
    <w:rsid w:val="009B5709"/>
    <w:rsid w:val="009D1B3D"/>
    <w:rsid w:val="009D2758"/>
    <w:rsid w:val="009D3991"/>
    <w:rsid w:val="009E1C42"/>
    <w:rsid w:val="009E4991"/>
    <w:rsid w:val="009F5B26"/>
    <w:rsid w:val="00A17268"/>
    <w:rsid w:val="00A25734"/>
    <w:rsid w:val="00A425C3"/>
    <w:rsid w:val="00A54836"/>
    <w:rsid w:val="00A55A3F"/>
    <w:rsid w:val="00A57C58"/>
    <w:rsid w:val="00A603A6"/>
    <w:rsid w:val="00A61414"/>
    <w:rsid w:val="00A654F5"/>
    <w:rsid w:val="00A80BDE"/>
    <w:rsid w:val="00A80EAF"/>
    <w:rsid w:val="00A83E4E"/>
    <w:rsid w:val="00A8659B"/>
    <w:rsid w:val="00A92AC6"/>
    <w:rsid w:val="00A93399"/>
    <w:rsid w:val="00AA1BD1"/>
    <w:rsid w:val="00AA1E67"/>
    <w:rsid w:val="00AA451E"/>
    <w:rsid w:val="00AA4A0F"/>
    <w:rsid w:val="00AA7441"/>
    <w:rsid w:val="00AB1A6E"/>
    <w:rsid w:val="00AB486F"/>
    <w:rsid w:val="00AC4646"/>
    <w:rsid w:val="00AD3094"/>
    <w:rsid w:val="00AD353F"/>
    <w:rsid w:val="00AD3ED8"/>
    <w:rsid w:val="00AD5F7F"/>
    <w:rsid w:val="00AE474C"/>
    <w:rsid w:val="00AF0849"/>
    <w:rsid w:val="00AF21E2"/>
    <w:rsid w:val="00B001D7"/>
    <w:rsid w:val="00B03095"/>
    <w:rsid w:val="00B07CDD"/>
    <w:rsid w:val="00B10FA8"/>
    <w:rsid w:val="00B25C79"/>
    <w:rsid w:val="00B35117"/>
    <w:rsid w:val="00B46DA1"/>
    <w:rsid w:val="00B46F5B"/>
    <w:rsid w:val="00B51111"/>
    <w:rsid w:val="00B538A3"/>
    <w:rsid w:val="00B57386"/>
    <w:rsid w:val="00B603D6"/>
    <w:rsid w:val="00B64578"/>
    <w:rsid w:val="00B7097C"/>
    <w:rsid w:val="00B717ED"/>
    <w:rsid w:val="00B71F9F"/>
    <w:rsid w:val="00B72FAE"/>
    <w:rsid w:val="00B74D5F"/>
    <w:rsid w:val="00B80ED2"/>
    <w:rsid w:val="00B8278B"/>
    <w:rsid w:val="00B86088"/>
    <w:rsid w:val="00B95D50"/>
    <w:rsid w:val="00BA3AA5"/>
    <w:rsid w:val="00BB049D"/>
    <w:rsid w:val="00BB7E85"/>
    <w:rsid w:val="00BC0A0D"/>
    <w:rsid w:val="00BD1008"/>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A7251"/>
    <w:rsid w:val="00CB0780"/>
    <w:rsid w:val="00CB1A8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75FF9"/>
    <w:rsid w:val="00D81366"/>
    <w:rsid w:val="00D83F73"/>
    <w:rsid w:val="00D858C4"/>
    <w:rsid w:val="00D94F60"/>
    <w:rsid w:val="00DA1743"/>
    <w:rsid w:val="00DA4AFC"/>
    <w:rsid w:val="00DA52AB"/>
    <w:rsid w:val="00DA5988"/>
    <w:rsid w:val="00DA6FF0"/>
    <w:rsid w:val="00DB3852"/>
    <w:rsid w:val="00DB544D"/>
    <w:rsid w:val="00DB5938"/>
    <w:rsid w:val="00DC0F1D"/>
    <w:rsid w:val="00DC4157"/>
    <w:rsid w:val="00DD3874"/>
    <w:rsid w:val="00DD4A43"/>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746A3"/>
    <w:rsid w:val="00E75E9B"/>
    <w:rsid w:val="00E82F2E"/>
    <w:rsid w:val="00E848E2"/>
    <w:rsid w:val="00E9573E"/>
    <w:rsid w:val="00EA0BEB"/>
    <w:rsid w:val="00EA122D"/>
    <w:rsid w:val="00EA765C"/>
    <w:rsid w:val="00EB1B2F"/>
    <w:rsid w:val="00EB4347"/>
    <w:rsid w:val="00EC550E"/>
    <w:rsid w:val="00ED5E88"/>
    <w:rsid w:val="00EE1772"/>
    <w:rsid w:val="00EE5133"/>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A017E"/>
    <w:rsid w:val="00FB2013"/>
    <w:rsid w:val="00FB5287"/>
    <w:rsid w:val="00FC0477"/>
    <w:rsid w:val="00FC083E"/>
    <w:rsid w:val="00FC33B4"/>
    <w:rsid w:val="00FC5F09"/>
    <w:rsid w:val="00FC719B"/>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CD8FF-B2A0-421E-863F-C7C553C7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14</Pages>
  <Words>4186</Words>
  <Characters>23861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8</cp:revision>
  <cp:lastPrinted>2014-09-18T12:51:00Z</cp:lastPrinted>
  <dcterms:created xsi:type="dcterms:W3CDTF">2013-02-15T04:43:00Z</dcterms:created>
  <dcterms:modified xsi:type="dcterms:W3CDTF">2014-09-18T12:54:00Z</dcterms:modified>
</cp:coreProperties>
</file>