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2" w:rsidRPr="00420E12" w:rsidRDefault="00420E12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 w:rsidRPr="00420E12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D107D22" wp14:editId="1C9D4337">
            <wp:extent cx="1238250" cy="97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«Королевская электросеть»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 Г.М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266633">
        <w:rPr>
          <w:rFonts w:ascii="Times New Roman" w:hAnsi="Times New Roman"/>
          <w:sz w:val="24"/>
          <w:szCs w:val="24"/>
          <w:u w:val="single"/>
          <w:lang w:eastAsia="ru-RU"/>
        </w:rPr>
        <w:t>07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E55D09"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266633">
        <w:rPr>
          <w:rFonts w:ascii="Times New Roman" w:hAnsi="Times New Roman"/>
          <w:sz w:val="24"/>
          <w:szCs w:val="24"/>
          <w:u w:val="single"/>
          <w:lang w:eastAsia="ru-RU"/>
        </w:rPr>
        <w:t>мая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3554B8" w:rsidRPr="00072FCC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6563CF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  <w:proofErr w:type="gramEnd"/>
          </w:p>
        </w:tc>
      </w:tr>
      <w:tr w:rsidR="00AE4B1A" w:rsidRPr="000F286C" w:rsidTr="006563C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</w:p>
          <w:p w:rsidR="00A91BEF" w:rsidRPr="00E466D4" w:rsidRDefault="00A91BEF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ЛОТ № 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82C2C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lang w:eastAsia="ru-RU"/>
              </w:rPr>
              <w:t>Аренда объектов недвижимого имущества.</w:t>
            </w:r>
          </w:p>
        </w:tc>
      </w:tr>
      <w:tr w:rsidR="00AE4B1A" w:rsidRPr="000F286C" w:rsidTr="006563C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BE30A4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Московская область </w:t>
            </w:r>
            <w:r w:rsidR="00AE4B1A"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г. </w:t>
            </w:r>
            <w:r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6563C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CC519A" w:rsidP="009D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9 322 236,00 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Девять миллионов триста двадцать две тысячи двести тридцать шесть рублей </w:t>
            </w:r>
            <w:r w:rsidR="0026663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00 копеек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)</w:t>
            </w:r>
            <w:r w:rsidR="00D0068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, в том числе НДС</w:t>
            </w:r>
            <w:r w:rsidR="006D13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– 1</w:t>
            </w:r>
            <w:r w:rsidR="00686A9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422 036</w:t>
            </w:r>
            <w:r w:rsidR="006D13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,00 (</w:t>
            </w:r>
            <w:r w:rsidR="00686A9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Один миллион четыреста двадцать две тысячи тридцать шесть ру</w:t>
            </w:r>
            <w:r w:rsidR="006D13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блей 00 копеек)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>(</w:t>
            </w:r>
            <w:r w:rsidR="00686A9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 xml:space="preserve">Сумма 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>арендн</w:t>
            </w:r>
            <w:r w:rsidR="00686A9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>ой</w:t>
            </w:r>
            <w:r w:rsidR="007E631E"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 xml:space="preserve"> плат</w:t>
            </w:r>
            <w:r w:rsidR="00686A9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 xml:space="preserve">ы </w:t>
            </w:r>
            <w:r w:rsidR="009D5D7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>регулируется сторонами ежемесячно после утверждения баланса, переданной электроэнергии)</w:t>
            </w:r>
          </w:p>
        </w:tc>
      </w:tr>
      <w:tr w:rsidR="00AE4B1A" w:rsidRPr="000F286C" w:rsidTr="006563CF">
        <w:trPr>
          <w:trHeight w:val="8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165E1" w:rsidP="006563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0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.ru</w:t>
              </w:r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1E0780" w:rsidRPr="000F286C" w:rsidTr="006563CF">
        <w:trPr>
          <w:trHeight w:val="960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E466D4" w:rsidRDefault="001E0780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E466D4" w:rsidRDefault="001E0780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</w:t>
            </w:r>
            <w:r w:rsidR="00EE2417"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еля) не преду</w:t>
            </w:r>
            <w:r w:rsidR="006B05C0"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сматривает подачу и рассмотрение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заявок</w:t>
            </w:r>
          </w:p>
        </w:tc>
      </w:tr>
      <w:tr w:rsidR="00AE4B1A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C02DCE" w:rsidRDefault="00C02DCE" w:rsidP="003F5E34">
      <w:pPr>
        <w:pStyle w:val="a3"/>
        <w:ind w:right="72"/>
        <w:rPr>
          <w:szCs w:val="28"/>
        </w:rPr>
      </w:pPr>
    </w:p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</w:t>
      </w:r>
      <w:r w:rsidR="004A30D1">
        <w:rPr>
          <w:b w:val="0"/>
          <w:sz w:val="24"/>
          <w:szCs w:val="24"/>
        </w:rPr>
        <w:t>07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4A30D1">
        <w:rPr>
          <w:b w:val="0"/>
          <w:sz w:val="24"/>
          <w:szCs w:val="24"/>
        </w:rPr>
        <w:t>мая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D45DBB" w:rsidRDefault="001E0780" w:rsidP="00B81D1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</w:p>
    <w:p w:rsidR="001F2577" w:rsidRDefault="00167068" w:rsidP="009D36DD">
      <w:pPr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н</w:t>
      </w:r>
      <w:r w:rsidRPr="00167068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 заключение договора аренды</w:t>
      </w:r>
      <w:r w:rsidR="009D36D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FA7900" w:rsidRPr="00FA790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объектов недвижимого имущества.</w:t>
      </w:r>
    </w:p>
    <w:p w:rsidR="001F2577" w:rsidRPr="00B81D1C" w:rsidRDefault="001F2577" w:rsidP="00B81D1C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EF15D0">
        <w:rPr>
          <w:rFonts w:ascii="Times New Roman" w:hAnsi="Times New Roman"/>
          <w:sz w:val="24"/>
          <w:szCs w:val="24"/>
          <w:highlight w:val="yellow"/>
          <w:lang w:eastAsia="ru-RU"/>
        </w:rPr>
        <w:t>21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proofErr w:type="gramStart"/>
      <w:r w:rsidR="00270E5B">
        <w:rPr>
          <w:rFonts w:ascii="Times New Roman" w:hAnsi="Times New Roman"/>
          <w:sz w:val="24"/>
          <w:szCs w:val="24"/>
          <w:highlight w:val="yellow"/>
          <w:lang w:eastAsia="ru-RU"/>
        </w:rPr>
        <w:t>П</w:t>
      </w:r>
      <w:r w:rsidR="003F5E34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Р</w:t>
      </w:r>
      <w:proofErr w:type="gramEnd"/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2577" w:rsidRDefault="001F2577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37AF" w:rsidRDefault="00F137A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37AF" w:rsidRDefault="00F137A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37AF" w:rsidRDefault="00F137A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167068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167068">
        <w:rPr>
          <w:bCs/>
          <w:sz w:val="26"/>
          <w:szCs w:val="26"/>
        </w:rPr>
        <w:t>закупки у единственного поставщика (подрядчика, исполнителя)</w:t>
      </w:r>
      <w:r w:rsidR="00E26720" w:rsidRPr="00167068">
        <w:rPr>
          <w:bCs/>
          <w:sz w:val="26"/>
          <w:szCs w:val="26"/>
        </w:rPr>
        <w:t xml:space="preserve"> </w:t>
      </w:r>
      <w:r w:rsidR="00375BC7" w:rsidRPr="00167068">
        <w:rPr>
          <w:bCs/>
          <w:sz w:val="26"/>
          <w:szCs w:val="26"/>
        </w:rPr>
        <w:t>н</w:t>
      </w:r>
      <w:r w:rsidR="00D34694" w:rsidRPr="00167068">
        <w:rPr>
          <w:bCs/>
          <w:sz w:val="26"/>
          <w:szCs w:val="26"/>
        </w:rPr>
        <w:t>а</w:t>
      </w:r>
      <w:r w:rsidR="00F137AF">
        <w:rPr>
          <w:bCs/>
          <w:sz w:val="26"/>
          <w:szCs w:val="26"/>
        </w:rPr>
        <w:t xml:space="preserve"> заключение договора аренды </w:t>
      </w:r>
      <w:r w:rsidR="00F137AF" w:rsidRPr="00FA7900">
        <w:rPr>
          <w:bCs/>
          <w:sz w:val="26"/>
          <w:szCs w:val="26"/>
        </w:rPr>
        <w:t>объектов недвижимого имущества.</w:t>
      </w:r>
    </w:p>
    <w:p w:rsidR="00167068" w:rsidRPr="00B81D1C" w:rsidRDefault="00167068" w:rsidP="00F137AF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</w:t>
      </w:r>
    </w:p>
    <w:p w:rsidR="003B33FA" w:rsidRPr="00FC5060" w:rsidRDefault="00167068" w:rsidP="00167068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 </w:t>
      </w:r>
      <w:r w:rsidR="003B33FA" w:rsidRPr="00FC5060">
        <w:rPr>
          <w:bCs/>
          <w:sz w:val="26"/>
          <w:szCs w:val="26"/>
        </w:rPr>
        <w:t>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="003B33FA"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3F5E34">
        <w:rPr>
          <w:sz w:val="26"/>
          <w:szCs w:val="26"/>
        </w:rPr>
        <w:t>А</w:t>
      </w:r>
      <w:r w:rsidRPr="00FC5060">
        <w:rPr>
          <w:sz w:val="26"/>
          <w:szCs w:val="26"/>
        </w:rPr>
        <w:t>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r w:rsidR="00A168F0">
        <w:rPr>
          <w:bCs/>
          <w:sz w:val="26"/>
          <w:szCs w:val="26"/>
        </w:rPr>
        <w:t>Авсеевич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D96BDC" w:rsidRPr="00D96BDC" w:rsidRDefault="003B33FA" w:rsidP="00D96BDC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  <w:highlight w:val="yellow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</w:t>
      </w:r>
      <w:r w:rsidR="00D34694" w:rsidRPr="00375BC7">
        <w:rPr>
          <w:bCs/>
          <w:sz w:val="26"/>
          <w:szCs w:val="26"/>
          <w:highlight w:val="yellow"/>
        </w:rPr>
        <w:t xml:space="preserve">на заключение </w:t>
      </w:r>
      <w:r w:rsidR="00D96BDC" w:rsidRPr="00D96BDC">
        <w:rPr>
          <w:bCs/>
          <w:sz w:val="26"/>
          <w:szCs w:val="26"/>
          <w:highlight w:val="yellow"/>
        </w:rPr>
        <w:t xml:space="preserve">договора аренды объектов недвижимого имущества. </w:t>
      </w:r>
    </w:p>
    <w:p w:rsidR="003B33FA" w:rsidRPr="00FC5060" w:rsidRDefault="003B33FA" w:rsidP="00D96BDC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1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.ru</w:t>
        </w:r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2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.ru</w:t>
        </w:r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D96BDC" w:rsidRPr="00D96BDC" w:rsidRDefault="003F5E34" w:rsidP="00D96BDC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3F5E34">
        <w:rPr>
          <w:sz w:val="26"/>
          <w:szCs w:val="26"/>
        </w:rPr>
        <w:t xml:space="preserve">Предметом закупки является право заключения </w:t>
      </w:r>
      <w:r w:rsidRPr="003F5E34">
        <w:rPr>
          <w:bCs/>
          <w:sz w:val="26"/>
          <w:szCs w:val="26"/>
        </w:rPr>
        <w:t xml:space="preserve">договоров </w:t>
      </w:r>
      <w:r w:rsidR="00D34694" w:rsidRPr="00D34694">
        <w:rPr>
          <w:sz w:val="26"/>
          <w:szCs w:val="26"/>
        </w:rPr>
        <w:t xml:space="preserve">на заключение </w:t>
      </w:r>
      <w:r w:rsidR="00D96BDC" w:rsidRPr="00D96BDC">
        <w:rPr>
          <w:sz w:val="26"/>
          <w:szCs w:val="26"/>
        </w:rPr>
        <w:t xml:space="preserve">договора аренды объектов недвижимого имущества. </w:t>
      </w:r>
    </w:p>
    <w:p w:rsidR="007F207F" w:rsidRDefault="007F207F" w:rsidP="00D96BDC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AF0849" w:rsidRPr="007F5F0B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lastRenderedPageBreak/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92639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</w:p>
    <w:p w:rsidR="003A53F8" w:rsidRPr="00692639" w:rsidRDefault="009D5D75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  <w:r w:rsidRPr="009D5D75">
        <w:rPr>
          <w:color w:val="000000"/>
          <w:sz w:val="24"/>
          <w:highlight w:val="yellow"/>
          <w:u w:val="single"/>
        </w:rPr>
        <w:t>9 322 236,00  (Девять миллионов триста двадцать две тысячи двести тридцать шесть рублей 00 копеек), в том числе НДС – 1 422 036,00 (Один миллион четыреста двадцать две тысячи тридцать шесть рублей 00 копеек) (Сумма арендной платы регулируется сторонами ежемесячно после утверждения баланса, переданной электроэнергии)</w:t>
      </w: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3F5E34" w:rsidRDefault="003F5E34" w:rsidP="003D15FA">
      <w:pPr>
        <w:pStyle w:val="3"/>
        <w:numPr>
          <w:ilvl w:val="0"/>
          <w:numId w:val="0"/>
        </w:numPr>
        <w:rPr>
          <w:sz w:val="26"/>
          <w:szCs w:val="26"/>
        </w:rPr>
      </w:pPr>
    </w:p>
    <w:p w:rsid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Участник определяет цену договора в соответствии с требованиями документации и представляет предложение о цене договора.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  <w:bookmarkStart w:id="0" w:name="_GoBack"/>
      <w:bookmarkEnd w:id="0"/>
    </w:p>
    <w:p w:rsidR="00AF0849" w:rsidRPr="00BD1EED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>не</w:t>
      </w:r>
      <w:r w:rsidR="00420E12">
        <w:rPr>
          <w:sz w:val="26"/>
          <w:szCs w:val="26"/>
        </w:rPr>
        <w:t xml:space="preserve"> </w:t>
      </w:r>
      <w:r w:rsidRPr="00244C15">
        <w:rPr>
          <w:sz w:val="26"/>
          <w:szCs w:val="26"/>
        </w:rPr>
        <w:t xml:space="preserve">проведение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>не</w:t>
      </w:r>
      <w:r w:rsidR="00420E12">
        <w:rPr>
          <w:sz w:val="26"/>
          <w:szCs w:val="26"/>
        </w:rPr>
        <w:t xml:space="preserve"> </w:t>
      </w:r>
      <w:r w:rsidRPr="00244C15">
        <w:rPr>
          <w:sz w:val="26"/>
          <w:szCs w:val="26"/>
        </w:rPr>
        <w:t xml:space="preserve">приостановление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sectPr w:rsidR="00363FEE" w:rsidSect="00D431F2">
      <w:footerReference w:type="default" r:id="rId13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D9"/>
    <w:rsid w:val="001523AA"/>
    <w:rsid w:val="00155DAD"/>
    <w:rsid w:val="00167068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66633"/>
    <w:rsid w:val="00270E5B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5FA"/>
    <w:rsid w:val="003E1785"/>
    <w:rsid w:val="003E4F60"/>
    <w:rsid w:val="003E6B0D"/>
    <w:rsid w:val="003F1FCE"/>
    <w:rsid w:val="003F5E34"/>
    <w:rsid w:val="00401F9E"/>
    <w:rsid w:val="00414520"/>
    <w:rsid w:val="00420E12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563CF"/>
    <w:rsid w:val="00670B4D"/>
    <w:rsid w:val="00671C15"/>
    <w:rsid w:val="00675F22"/>
    <w:rsid w:val="0068531C"/>
    <w:rsid w:val="00686A9B"/>
    <w:rsid w:val="006906E1"/>
    <w:rsid w:val="00692639"/>
    <w:rsid w:val="00694197"/>
    <w:rsid w:val="00694C3A"/>
    <w:rsid w:val="00697F9E"/>
    <w:rsid w:val="006A62E5"/>
    <w:rsid w:val="006B05C0"/>
    <w:rsid w:val="006C0ADD"/>
    <w:rsid w:val="006C3C55"/>
    <w:rsid w:val="006C6D5C"/>
    <w:rsid w:val="006D1339"/>
    <w:rsid w:val="006D3EB5"/>
    <w:rsid w:val="006D5D44"/>
    <w:rsid w:val="006D6B13"/>
    <w:rsid w:val="006F314C"/>
    <w:rsid w:val="006F5BE6"/>
    <w:rsid w:val="006F7D58"/>
    <w:rsid w:val="0071021F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7D6F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D36DD"/>
    <w:rsid w:val="009D5D75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1B2F"/>
    <w:rsid w:val="00BF3B98"/>
    <w:rsid w:val="00C02DCE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77A24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E1DAC"/>
    <w:rsid w:val="00CE352D"/>
    <w:rsid w:val="00CE7739"/>
    <w:rsid w:val="00CF05D6"/>
    <w:rsid w:val="00CF436C"/>
    <w:rsid w:val="00D0068A"/>
    <w:rsid w:val="00D03161"/>
    <w:rsid w:val="00D06093"/>
    <w:rsid w:val="00D164CA"/>
    <w:rsid w:val="00D250D5"/>
    <w:rsid w:val="00D27E0D"/>
    <w:rsid w:val="00D3127F"/>
    <w:rsid w:val="00D320A4"/>
    <w:rsid w:val="00D34694"/>
    <w:rsid w:val="00D3555B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2DF2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2B9A"/>
    <w:rsid w:val="00EB4347"/>
    <w:rsid w:val="00EC12D5"/>
    <w:rsid w:val="00ED5E88"/>
    <w:rsid w:val="00EE1772"/>
    <w:rsid w:val="00EE2417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3128A-A867-484D-A069-ADEB3B26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60</cp:revision>
  <cp:lastPrinted>2012-12-12T11:53:00Z</cp:lastPrinted>
  <dcterms:created xsi:type="dcterms:W3CDTF">2012-12-13T10:54:00Z</dcterms:created>
  <dcterms:modified xsi:type="dcterms:W3CDTF">2015-05-07T10:30:00Z</dcterms:modified>
</cp:coreProperties>
</file>